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CC6" w:rsidRDefault="00D95CC6" w:rsidP="00D95CC6">
      <w:pPr>
        <w:jc w:val="center"/>
        <w:rPr>
          <w:rFonts w:ascii="Tahoma" w:hAnsi="Tahoma"/>
          <w:b/>
          <w:i/>
          <w:color w:val="0000FF"/>
          <w:sz w:val="28"/>
          <w:lang w:val="en-GB"/>
        </w:rPr>
      </w:pPr>
      <w:r>
        <w:rPr>
          <w:rFonts w:ascii="Tahoma" w:hAnsi="Tahoma"/>
          <w:b/>
          <w:color w:val="000000"/>
          <w:sz w:val="28"/>
          <w:lang w:val="en-GB"/>
        </w:rPr>
        <w:t>ABSTRACT FORM</w:t>
      </w:r>
    </w:p>
    <w:p w:rsidR="00E8070E" w:rsidRDefault="00E8070E">
      <w:pPr>
        <w:jc w:val="both"/>
        <w:rPr>
          <w:b/>
          <w:lang w:val="en-GB"/>
        </w:rPr>
      </w:pPr>
      <w:r>
        <w:rPr>
          <w:rFonts w:ascii="Tahoma" w:hAnsi="Tahoma"/>
          <w:b/>
          <w:i/>
          <w:color w:val="0000FF"/>
          <w:sz w:val="28"/>
          <w:lang w:val="en-GB"/>
        </w:rPr>
        <w:t>Meeting of th</w:t>
      </w:r>
      <w:r w:rsidR="00D95CC6">
        <w:rPr>
          <w:rFonts w:ascii="Tahoma" w:hAnsi="Tahoma"/>
          <w:b/>
          <w:i/>
          <w:color w:val="0000FF"/>
          <w:sz w:val="28"/>
          <w:lang w:val="en-GB"/>
        </w:rPr>
        <w:t xml:space="preserve">e International </w:t>
      </w:r>
      <w:r w:rsidR="00D95CC6">
        <w:rPr>
          <w:lang w:val="en-GB"/>
        </w:rPr>
        <w:t xml:space="preserve"> </w:t>
      </w:r>
      <w:r>
        <w:rPr>
          <w:lang w:val="en-GB"/>
        </w:rPr>
        <w:tab/>
      </w:r>
      <w:r>
        <w:rPr>
          <w:lang w:val="en-GB"/>
        </w:rPr>
        <w:tab/>
        <w:t xml:space="preserve">             </w:t>
      </w:r>
    </w:p>
    <w:p w:rsidR="00E8070E" w:rsidRDefault="00E8070E">
      <w:pPr>
        <w:pStyle w:val="2"/>
        <w:spacing w:line="240" w:lineRule="auto"/>
        <w:jc w:val="both"/>
        <w:rPr>
          <w:color w:val="0000FF"/>
        </w:rPr>
      </w:pPr>
      <w:r>
        <w:rPr>
          <w:color w:val="0000FF"/>
        </w:rPr>
        <w:t>Patellofemoral Study Group</w:t>
      </w:r>
    </w:p>
    <w:p w:rsidR="00E8070E" w:rsidRDefault="004F599E">
      <w:pPr>
        <w:jc w:val="both"/>
        <w:rPr>
          <w:rFonts w:ascii="Tahoma" w:hAnsi="Tahoma"/>
          <w:i/>
          <w:color w:val="000000"/>
          <w:lang w:val="en-GB"/>
        </w:rPr>
      </w:pPr>
      <w:r>
        <w:rPr>
          <w:rFonts w:ascii="Tahoma" w:hAnsi="Tahoma"/>
          <w:i/>
          <w:color w:val="000000"/>
          <w:lang w:val="en-GB"/>
        </w:rPr>
        <w:t>Helsinki Finland Aug 3-6. 2022</w:t>
      </w:r>
    </w:p>
    <w:p w:rsidR="00E8070E" w:rsidRDefault="00E8070E">
      <w:pPr>
        <w:jc w:val="both"/>
        <w:rPr>
          <w:rFonts w:ascii="Tahoma" w:hAnsi="Tahoma"/>
          <w:b/>
          <w:i/>
          <w:lang w:val="en-GB"/>
        </w:rPr>
      </w:pPr>
    </w:p>
    <w:p w:rsidR="00E8070E" w:rsidRPr="00AA5D8A" w:rsidRDefault="00E8070E">
      <w:pPr>
        <w:jc w:val="both"/>
        <w:rPr>
          <w:rFonts w:ascii="Tahoma" w:hAnsi="Tahoma"/>
          <w:b/>
          <w:color w:val="000000"/>
          <w:sz w:val="28"/>
          <w:u w:val="single"/>
          <w:lang w:val="en-GB"/>
        </w:rPr>
      </w:pPr>
      <w:r>
        <w:rPr>
          <w:rFonts w:ascii="Tahoma" w:hAnsi="Tahoma"/>
          <w:b/>
          <w:color w:val="000000"/>
          <w:u w:val="single"/>
          <w:lang w:val="en-GB"/>
        </w:rPr>
        <w:tab/>
      </w:r>
      <w:r>
        <w:rPr>
          <w:rFonts w:ascii="Tahoma" w:hAnsi="Tahoma"/>
          <w:b/>
          <w:color w:val="000000"/>
          <w:u w:val="single"/>
          <w:lang w:val="en-GB"/>
        </w:rPr>
        <w:tab/>
      </w:r>
      <w:r>
        <w:rPr>
          <w:rFonts w:ascii="Tahoma" w:hAnsi="Tahoma"/>
          <w:color w:val="000000"/>
          <w:u w:val="single"/>
          <w:lang w:val="en-GB"/>
        </w:rPr>
        <w:t xml:space="preserve">             </w:t>
      </w:r>
      <w:r w:rsidR="00AA5D8A">
        <w:rPr>
          <w:rFonts w:ascii="Tahoma" w:hAnsi="Tahoma"/>
          <w:color w:val="000000"/>
          <w:u w:val="single"/>
          <w:lang w:val="en-GB"/>
        </w:rPr>
        <w:tab/>
      </w:r>
      <w:r w:rsidR="00AA5D8A">
        <w:rPr>
          <w:rFonts w:ascii="Tahoma" w:hAnsi="Tahoma"/>
          <w:color w:val="000000"/>
          <w:u w:val="single"/>
          <w:lang w:val="en-GB"/>
        </w:rPr>
        <w:tab/>
      </w:r>
      <w:r w:rsidR="00AA5D8A">
        <w:rPr>
          <w:rFonts w:ascii="Tahoma" w:hAnsi="Tahoma"/>
          <w:color w:val="000000"/>
          <w:u w:val="single"/>
          <w:lang w:val="en-GB"/>
        </w:rPr>
        <w:tab/>
      </w:r>
      <w:r w:rsidR="00AA5D8A">
        <w:rPr>
          <w:rFonts w:ascii="Tahoma" w:hAnsi="Tahoma"/>
          <w:color w:val="000000"/>
          <w:u w:val="single"/>
          <w:lang w:val="en-GB"/>
        </w:rPr>
        <w:tab/>
      </w:r>
      <w:r>
        <w:rPr>
          <w:rFonts w:ascii="Tahoma" w:hAnsi="Tahoma"/>
          <w:color w:val="000000"/>
          <w:u w:val="single"/>
          <w:lang w:val="en-GB"/>
        </w:rPr>
        <w:t xml:space="preserve"> </w:t>
      </w:r>
      <w:r w:rsidRPr="00AA5D8A">
        <w:rPr>
          <w:rFonts w:ascii="Tahoma" w:hAnsi="Tahoma"/>
          <w:b/>
          <w:color w:val="000000"/>
          <w:sz w:val="28"/>
          <w:u w:val="single"/>
          <w:lang w:val="en-GB"/>
        </w:rPr>
        <w:t xml:space="preserve">DEADLINE: </w:t>
      </w:r>
      <w:r w:rsidR="00427421">
        <w:rPr>
          <w:rFonts w:ascii="Tahoma" w:hAnsi="Tahoma"/>
          <w:b/>
          <w:color w:val="000000"/>
          <w:sz w:val="28"/>
          <w:u w:val="single"/>
          <w:lang w:val="en-GB"/>
        </w:rPr>
        <w:t>April 15</w:t>
      </w:r>
      <w:r w:rsidR="006C1EB8">
        <w:rPr>
          <w:rFonts w:ascii="Tahoma" w:hAnsi="Tahoma"/>
          <w:b/>
          <w:color w:val="000000"/>
          <w:sz w:val="28"/>
          <w:u w:val="single"/>
          <w:lang w:val="en-GB"/>
        </w:rPr>
        <w:t>, 20</w:t>
      </w:r>
      <w:r w:rsidR="004F599E">
        <w:rPr>
          <w:rFonts w:ascii="Tahoma" w:hAnsi="Tahoma"/>
          <w:b/>
          <w:color w:val="000000"/>
          <w:sz w:val="28"/>
          <w:u w:val="single"/>
          <w:lang w:val="en-GB"/>
        </w:rPr>
        <w:t>22</w:t>
      </w:r>
    </w:p>
    <w:p w:rsidR="003F1339" w:rsidRDefault="00E8070E" w:rsidP="003F1339">
      <w:pPr>
        <w:rPr>
          <w:rFonts w:ascii="Tahoma" w:hAnsi="Tahoma"/>
          <w:color w:val="000000"/>
          <w:lang w:val="en-GB"/>
        </w:rPr>
      </w:pPr>
      <w:r>
        <w:rPr>
          <w:rFonts w:ascii="Tahoma" w:hAnsi="Tahoma"/>
          <w:color w:val="000000"/>
          <w:lang w:val="en-GB"/>
        </w:rPr>
        <w:t>AUTHOR, CO–AUTHORS</w:t>
      </w:r>
      <w:r>
        <w:rPr>
          <w:rFonts w:ascii="Tahoma" w:hAnsi="Tahoma"/>
          <w:b/>
          <w:color w:val="000000"/>
          <w:lang w:val="en-GB"/>
        </w:rPr>
        <w:t xml:space="preserve"> </w:t>
      </w:r>
      <w:r>
        <w:rPr>
          <w:rFonts w:ascii="Tahoma" w:hAnsi="Tahoma"/>
          <w:color w:val="000000"/>
          <w:lang w:val="en-GB"/>
        </w:rPr>
        <w:t>(underline name of presenter)</w:t>
      </w:r>
    </w:p>
    <w:p w:rsidR="008B6C5E" w:rsidRDefault="008B6C5E" w:rsidP="003F1339">
      <w:pPr>
        <w:rPr>
          <w:rFonts w:ascii="Tahoma" w:hAnsi="Tahoma"/>
          <w:color w:val="000000"/>
          <w:lang w:val="en-GB"/>
        </w:rPr>
      </w:pPr>
    </w:p>
    <w:p w:rsidR="00B87FAA" w:rsidRDefault="00E8070E">
      <w:pPr>
        <w:rPr>
          <w:rFonts w:ascii="Tahoma" w:hAnsi="Tahoma"/>
          <w:color w:val="000000"/>
          <w:lang w:val="en-GB"/>
        </w:rPr>
      </w:pPr>
      <w:r>
        <w:rPr>
          <w:rFonts w:ascii="Tahoma" w:hAnsi="Tahoma"/>
          <w:color w:val="000000"/>
          <w:lang w:val="en-GB"/>
        </w:rPr>
        <w:t>INSTITUTION</w:t>
      </w:r>
    </w:p>
    <w:p w:rsidR="008B6C5E" w:rsidRDefault="008B6C5E">
      <w:pPr>
        <w:rPr>
          <w:rFonts w:ascii="Tahoma" w:hAnsi="Tahoma"/>
          <w:color w:val="000000"/>
          <w:lang w:val="en-GB"/>
        </w:rPr>
      </w:pPr>
    </w:p>
    <w:p w:rsidR="00E8070E" w:rsidRDefault="00E8070E">
      <w:pPr>
        <w:rPr>
          <w:rFonts w:ascii="Tahoma" w:hAnsi="Tahoma"/>
          <w:color w:val="000000"/>
          <w:lang w:val="en-GB"/>
        </w:rPr>
      </w:pPr>
      <w:r>
        <w:rPr>
          <w:rFonts w:ascii="Tahoma" w:hAnsi="Tahoma"/>
          <w:color w:val="000000"/>
          <w:lang w:val="en-GB"/>
        </w:rPr>
        <w:t>TITLE OF ABSTRACT</w:t>
      </w:r>
    </w:p>
    <w:p w:rsidR="008B6C5E" w:rsidRDefault="00AA5D8A" w:rsidP="008B6C5E">
      <w:pPr>
        <w:rPr>
          <w:rFonts w:ascii="Tahoma" w:hAnsi="Tahoma"/>
          <w:color w:val="000000"/>
          <w:u w:val="single"/>
          <w:lang w:val="en-GB"/>
        </w:rPr>
      </w:pPr>
      <w:r>
        <w:rPr>
          <w:rFonts w:ascii="Tahoma" w:hAnsi="Tahoma"/>
          <w:color w:val="000000"/>
          <w:u w:val="single"/>
          <w:lang w:val="en-GB"/>
        </w:rPr>
        <w:t xml:space="preserve">                   </w:t>
      </w:r>
    </w:p>
    <w:p w:rsidR="008B6C5E" w:rsidRDefault="008B6C5E" w:rsidP="008B6C5E">
      <w:pPr>
        <w:rPr>
          <w:rFonts w:ascii="Tahoma" w:hAnsi="Tahoma"/>
          <w:b/>
          <w:color w:val="000000"/>
          <w:lang w:val="en-GB"/>
        </w:rPr>
      </w:pPr>
    </w:p>
    <w:p w:rsidR="00E8070E" w:rsidRDefault="00D95456" w:rsidP="008B6C5E">
      <w:pPr>
        <w:rPr>
          <w:rFonts w:ascii="Tahoma" w:hAnsi="Tahoma"/>
          <w:b/>
          <w:color w:val="000000"/>
          <w:lang w:val="en-GB"/>
        </w:rPr>
      </w:pPr>
      <w:r>
        <w:rPr>
          <w:rFonts w:ascii="Tahoma" w:hAnsi="Tahoma"/>
          <w:noProof/>
          <w:color w:val="000000"/>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189865</wp:posOffset>
                </wp:positionV>
                <wp:extent cx="6096000" cy="5822950"/>
                <wp:effectExtent l="5715" t="1270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822950"/>
                        </a:xfrm>
                        <a:prstGeom prst="rect">
                          <a:avLst/>
                        </a:prstGeom>
                        <a:solidFill>
                          <a:srgbClr val="FFFFFF"/>
                        </a:solidFill>
                        <a:ln w="9525">
                          <a:solidFill>
                            <a:srgbClr val="0000FF"/>
                          </a:solidFill>
                          <a:miter lim="800000"/>
                          <a:headEnd/>
                          <a:tailEnd/>
                        </a:ln>
                      </wps:spPr>
                      <wps:txbx>
                        <w:txbxContent>
                          <w:p w:rsidR="008B6C5E" w:rsidRPr="008B6C5E" w:rsidRDefault="008B6C5E" w:rsidP="008B6C5E">
                            <w:pPr>
                              <w:rPr>
                                <w:color w:val="000000"/>
                                <w:lang w:val="en-GB"/>
                              </w:rPr>
                            </w:pPr>
                            <w:r w:rsidRPr="008B6C5E">
                              <w:rPr>
                                <w:color w:val="000000"/>
                                <w:lang w:val="en-GB"/>
                              </w:rPr>
                              <w:t>AUTHOR, CO–AUTHORS</w:t>
                            </w:r>
                            <w:r w:rsidRPr="008B6C5E">
                              <w:rPr>
                                <w:b/>
                                <w:color w:val="000000"/>
                                <w:lang w:val="en-GB"/>
                              </w:rPr>
                              <w:t xml:space="preserve"> </w:t>
                            </w:r>
                            <w:r w:rsidRPr="008B6C5E">
                              <w:rPr>
                                <w:color w:val="000000"/>
                                <w:lang w:val="en-GB"/>
                              </w:rPr>
                              <w:t>(underline name of presenter)</w:t>
                            </w:r>
                          </w:p>
                          <w:p w:rsidR="008B6C5E" w:rsidRPr="008B6C5E" w:rsidRDefault="008B6C5E" w:rsidP="008B6C5E">
                            <w:pPr>
                              <w:rPr>
                                <w:color w:val="000000"/>
                                <w:lang w:val="en-GB" w:eastAsia="ja-JP"/>
                              </w:rPr>
                            </w:pPr>
                            <w:r w:rsidRPr="008B6C5E">
                              <w:rPr>
                                <w:color w:val="000000"/>
                                <w:u w:val="single"/>
                                <w:lang w:val="en-GB" w:eastAsia="ja-JP"/>
                              </w:rPr>
                              <w:t>Kanto Nagai</w:t>
                            </w:r>
                            <w:r w:rsidRPr="008B6C5E">
                              <w:rPr>
                                <w:color w:val="000000"/>
                                <w:lang w:val="en-GB" w:eastAsia="ja-JP"/>
                              </w:rPr>
                              <w:t>, Shu Watanabe, Takehiko Matsushita, Ryosuke Kuroda</w:t>
                            </w:r>
                          </w:p>
                          <w:p w:rsidR="008B6C5E" w:rsidRPr="008B6C5E" w:rsidRDefault="008B6C5E" w:rsidP="008B6C5E">
                            <w:pPr>
                              <w:rPr>
                                <w:color w:val="000000"/>
                                <w:lang w:val="en-GB"/>
                              </w:rPr>
                            </w:pPr>
                          </w:p>
                          <w:p w:rsidR="008B6C5E" w:rsidRPr="008B6C5E" w:rsidRDefault="008B6C5E" w:rsidP="008B6C5E">
                            <w:pPr>
                              <w:rPr>
                                <w:color w:val="000000"/>
                                <w:lang w:val="en-GB"/>
                              </w:rPr>
                            </w:pPr>
                            <w:r w:rsidRPr="008B6C5E">
                              <w:rPr>
                                <w:color w:val="000000"/>
                                <w:lang w:val="en-GB"/>
                              </w:rPr>
                              <w:t>INSTITUTION</w:t>
                            </w:r>
                            <w:r w:rsidRPr="008B6C5E">
                              <w:rPr>
                                <w:color w:val="000000"/>
                                <w:lang w:val="en-GB"/>
                              </w:rPr>
                              <w:t xml:space="preserve">: </w:t>
                            </w:r>
                            <w:r w:rsidRPr="008B6C5E">
                              <w:rPr>
                                <w:color w:val="000000"/>
                                <w:lang w:val="en-GB"/>
                              </w:rPr>
                              <w:t>Department of Orthopaedic Surgery, Kobe University Graduate School of Medicine, Kobe, JAPAN</w:t>
                            </w:r>
                          </w:p>
                          <w:p w:rsidR="008B6C5E" w:rsidRPr="008B6C5E" w:rsidRDefault="008B6C5E" w:rsidP="008B6C5E">
                            <w:pPr>
                              <w:rPr>
                                <w:color w:val="000000"/>
                                <w:lang w:val="en-GB"/>
                              </w:rPr>
                            </w:pPr>
                          </w:p>
                          <w:p w:rsidR="008B6C5E" w:rsidRPr="008B6C5E" w:rsidRDefault="008B6C5E" w:rsidP="008B6C5E">
                            <w:pPr>
                              <w:rPr>
                                <w:color w:val="000000"/>
                                <w:lang w:val="en-GB"/>
                              </w:rPr>
                            </w:pPr>
                            <w:r w:rsidRPr="008B6C5E">
                              <w:rPr>
                                <w:color w:val="000000"/>
                                <w:lang w:val="en-GB"/>
                              </w:rPr>
                              <w:t>TITLE OF ABSTRACT</w:t>
                            </w:r>
                            <w:r w:rsidRPr="008B6C5E">
                              <w:rPr>
                                <w:color w:val="000000"/>
                                <w:lang w:val="en-GB"/>
                              </w:rPr>
                              <w:t xml:space="preserve">: </w:t>
                            </w:r>
                          </w:p>
                          <w:p w:rsidR="008B6C5E" w:rsidRPr="008B6C5E" w:rsidRDefault="008B6C5E" w:rsidP="008B6C5E">
                            <w:pPr>
                              <w:rPr>
                                <w:color w:val="000000"/>
                                <w:lang w:val="en-GB"/>
                              </w:rPr>
                            </w:pPr>
                            <w:r w:rsidRPr="008B6C5E">
                              <w:rPr>
                                <w:color w:val="000000"/>
                                <w:lang w:val="en-GB"/>
                              </w:rPr>
                              <w:t>C</w:t>
                            </w:r>
                            <w:r w:rsidRPr="008B6C5E">
                              <w:rPr>
                                <w:color w:val="000000"/>
                                <w:lang w:val="en-GB"/>
                              </w:rPr>
                              <w:t>LINICAL OUTCOMES OF MEDIAL PATELLOFEMORAL LIGAMENT RECONSTRUCTION USING SUTURE ANCHORS IN SKELETALLY IMMATURE PATIENTS WITH</w:t>
                            </w:r>
                            <w:r w:rsidRPr="008B6C5E">
                              <w:rPr>
                                <w:color w:val="000000"/>
                                <w:lang w:val="en-GB"/>
                              </w:rPr>
                              <w:t xml:space="preserve"> R</w:t>
                            </w:r>
                            <w:r w:rsidRPr="008B6C5E">
                              <w:rPr>
                                <w:color w:val="000000"/>
                                <w:lang w:val="en-GB"/>
                              </w:rPr>
                              <w:t xml:space="preserve">ECURRENT </w:t>
                            </w:r>
                            <w:r w:rsidRPr="008B6C5E">
                              <w:rPr>
                                <w:color w:val="000000"/>
                                <w:lang w:val="en-GB"/>
                              </w:rPr>
                              <w:t>P</w:t>
                            </w:r>
                            <w:r w:rsidRPr="008B6C5E">
                              <w:rPr>
                                <w:color w:val="000000"/>
                                <w:lang w:val="en-GB"/>
                              </w:rPr>
                              <w:t>ATELLAR DISLOCATION</w:t>
                            </w:r>
                          </w:p>
                          <w:p w:rsidR="008B6C5E" w:rsidRPr="008B6C5E" w:rsidRDefault="008B6C5E" w:rsidP="008B6C5E">
                            <w:pPr>
                              <w:rPr>
                                <w:color w:val="000000"/>
                                <w:lang w:val="en-GB"/>
                              </w:rPr>
                            </w:pPr>
                          </w:p>
                          <w:p w:rsidR="008B6C5E" w:rsidRPr="008B6C5E" w:rsidRDefault="008B6C5E" w:rsidP="008B6C5E">
                            <w:r w:rsidRPr="008B6C5E">
                              <w:rPr>
                                <w:lang w:eastAsia="ja-JP"/>
                              </w:rPr>
                              <w:t>ABSTRACT</w:t>
                            </w:r>
                            <w:r>
                              <w:rPr>
                                <w:lang w:eastAsia="ja-JP"/>
                              </w:rPr>
                              <w:t>:</w:t>
                            </w:r>
                          </w:p>
                          <w:p w:rsidR="008B6C5E" w:rsidRPr="008B6C5E" w:rsidRDefault="008B6C5E" w:rsidP="008B6C5E">
                            <w:pPr>
                              <w:rPr>
                                <w:lang w:eastAsia="ja-JP"/>
                              </w:rPr>
                            </w:pPr>
                            <w:r w:rsidRPr="008B6C5E">
                              <w:rPr>
                                <w:b/>
                                <w:lang w:eastAsia="ja-JP"/>
                              </w:rPr>
                              <w:t>Background:</w:t>
                            </w:r>
                            <w:r w:rsidRPr="008B6C5E">
                              <w:rPr>
                                <w:lang w:eastAsia="ja-JP"/>
                              </w:rPr>
                              <w:t xml:space="preserve"> </w:t>
                            </w:r>
                            <w:r w:rsidRPr="008B6C5E">
                              <w:rPr>
                                <w:lang w:eastAsia="ja-JP"/>
                              </w:rPr>
                              <w:t xml:space="preserve">Surgical </w:t>
                            </w:r>
                            <w:r>
                              <w:rPr>
                                <w:lang w:eastAsia="ja-JP"/>
                              </w:rPr>
                              <w:t>procedures</w:t>
                            </w:r>
                            <w:r w:rsidRPr="008B6C5E">
                              <w:rPr>
                                <w:lang w:eastAsia="ja-JP"/>
                              </w:rPr>
                              <w:t xml:space="preserve"> for skeletally immature patients with </w:t>
                            </w:r>
                            <w:r w:rsidRPr="008B6C5E">
                              <w:rPr>
                                <w:lang w:eastAsia="ja-JP"/>
                              </w:rPr>
                              <w:t xml:space="preserve">recurrent </w:t>
                            </w:r>
                            <w:r w:rsidRPr="008B6C5E">
                              <w:rPr>
                                <w:lang w:eastAsia="ja-JP"/>
                              </w:rPr>
                              <w:t xml:space="preserve">patellar dislocation have not yet been established. </w:t>
                            </w:r>
                            <w:r>
                              <w:rPr>
                                <w:lang w:eastAsia="ja-JP"/>
                              </w:rPr>
                              <w:t>The purpose of the present study was t</w:t>
                            </w:r>
                            <w:r w:rsidRPr="008B6C5E">
                              <w:rPr>
                                <w:lang w:eastAsia="ja-JP"/>
                              </w:rPr>
                              <w:t xml:space="preserve">o assess clinical outcomes of </w:t>
                            </w:r>
                            <w:r w:rsidR="009413B3">
                              <w:rPr>
                                <w:rFonts w:hint="eastAsia"/>
                                <w:lang w:eastAsia="ja-JP"/>
                              </w:rPr>
                              <w:t>m</w:t>
                            </w:r>
                            <w:r w:rsidRPr="008B6C5E">
                              <w:rPr>
                                <w:lang w:eastAsia="ja-JP"/>
                              </w:rPr>
                              <w:t>edial patellofemoral ligament (MPFL) reconstruction using suture anchors in skeletally immature patients with recurrent patellar dislocation.</w:t>
                            </w:r>
                          </w:p>
                          <w:p w:rsidR="008B6C5E" w:rsidRPr="008B6C5E" w:rsidRDefault="008B6C5E" w:rsidP="008B6C5E">
                            <w:pPr>
                              <w:rPr>
                                <w:lang w:eastAsia="ja-JP"/>
                              </w:rPr>
                            </w:pPr>
                            <w:r w:rsidRPr="008B6C5E">
                              <w:rPr>
                                <w:b/>
                                <w:lang w:eastAsia="ja-JP"/>
                              </w:rPr>
                              <w:t>Methods</w:t>
                            </w:r>
                            <w:r w:rsidRPr="008B6C5E">
                              <w:rPr>
                                <w:b/>
                                <w:lang w:eastAsia="ja-JP"/>
                              </w:rPr>
                              <w:t>:</w:t>
                            </w:r>
                            <w:r w:rsidRPr="008B6C5E">
                              <w:rPr>
                                <w:b/>
                                <w:lang w:eastAsia="ja-JP"/>
                              </w:rPr>
                              <w:t xml:space="preserve"> </w:t>
                            </w:r>
                            <w:r w:rsidRPr="008B6C5E">
                              <w:rPr>
                                <w:lang w:eastAsia="ja-JP"/>
                              </w:rPr>
                              <w:t>Thirteen knees of t</w:t>
                            </w:r>
                            <w:r w:rsidRPr="008B6C5E">
                              <w:rPr>
                                <w:lang w:eastAsia="ja-JP"/>
                              </w:rPr>
                              <w:t>en skeletally immature adolescents</w:t>
                            </w:r>
                            <w:r w:rsidR="00F978F3">
                              <w:rPr>
                                <w:rFonts w:hint="eastAsia"/>
                                <w:lang w:eastAsia="ja-JP"/>
                              </w:rPr>
                              <w:t xml:space="preserve"> </w:t>
                            </w:r>
                            <w:r w:rsidR="00F978F3" w:rsidRPr="008B6C5E">
                              <w:rPr>
                                <w:lang w:eastAsia="ja-JP"/>
                              </w:rPr>
                              <w:t>(</w:t>
                            </w:r>
                            <w:r w:rsidR="00F978F3">
                              <w:rPr>
                                <w:lang w:eastAsia="ja-JP"/>
                              </w:rPr>
                              <w:t>a</w:t>
                            </w:r>
                            <w:r w:rsidR="00F978F3" w:rsidRPr="008B6C5E">
                              <w:rPr>
                                <w:lang w:eastAsia="ja-JP"/>
                              </w:rPr>
                              <w:t>ge, 14</w:t>
                            </w:r>
                            <w:r w:rsidR="00F978F3" w:rsidRPr="008B6C5E">
                              <w:rPr>
                                <w:color w:val="000000" w:themeColor="text1"/>
                                <w:kern w:val="24"/>
                                <w:szCs w:val="40"/>
                                <w:eastAsianLayout w:id="-1536335098"/>
                              </w:rPr>
                              <w:t>±</w:t>
                            </w:r>
                            <w:r w:rsidR="00F978F3" w:rsidRPr="008B6C5E">
                              <w:rPr>
                                <w:color w:val="000000" w:themeColor="text1"/>
                                <w:kern w:val="24"/>
                                <w:szCs w:val="40"/>
                              </w:rPr>
                              <w:t xml:space="preserve">2 </w:t>
                            </w:r>
                            <w:r w:rsidR="00F978F3" w:rsidRPr="008B6C5E">
                              <w:rPr>
                                <w:lang w:eastAsia="ja-JP"/>
                              </w:rPr>
                              <w:t>years; M/F: 5/8)</w:t>
                            </w:r>
                            <w:r w:rsidR="00F978F3">
                              <w:rPr>
                                <w:lang w:eastAsia="ja-JP"/>
                              </w:rPr>
                              <w:t xml:space="preserve"> with recurrent patellar dislocation</w:t>
                            </w:r>
                            <w:r w:rsidR="00F978F3" w:rsidRPr="00F978F3">
                              <w:rPr>
                                <w:lang w:eastAsia="ja-JP"/>
                              </w:rPr>
                              <w:t xml:space="preserve"> </w:t>
                            </w:r>
                            <w:r w:rsidR="00F978F3" w:rsidRPr="008B6C5E">
                              <w:rPr>
                                <w:lang w:eastAsia="ja-JP"/>
                              </w:rPr>
                              <w:t>were enrolled</w:t>
                            </w:r>
                            <w:r w:rsidR="009413B3" w:rsidRPr="009413B3">
                              <w:rPr>
                                <w:lang w:eastAsia="ja-JP"/>
                              </w:rPr>
                              <w:t xml:space="preserve"> </w:t>
                            </w:r>
                            <w:r w:rsidR="009413B3">
                              <w:rPr>
                                <w:lang w:eastAsia="ja-JP"/>
                              </w:rPr>
                              <w:t>(</w:t>
                            </w:r>
                            <w:r w:rsidR="009413B3" w:rsidRPr="008B6C5E">
                              <w:rPr>
                                <w:lang w:eastAsia="ja-JP"/>
                              </w:rPr>
                              <w:t>mean follow-up</w:t>
                            </w:r>
                            <w:r w:rsidR="009413B3">
                              <w:rPr>
                                <w:lang w:eastAsia="ja-JP"/>
                              </w:rPr>
                              <w:t xml:space="preserve">: </w:t>
                            </w:r>
                            <w:r w:rsidR="009413B3" w:rsidRPr="008B6C5E">
                              <w:rPr>
                                <w:lang w:eastAsia="ja-JP"/>
                              </w:rPr>
                              <w:t>4.1± 1.8 years</w:t>
                            </w:r>
                            <w:r w:rsidR="009413B3">
                              <w:rPr>
                                <w:lang w:eastAsia="ja-JP"/>
                              </w:rPr>
                              <w:t>)</w:t>
                            </w:r>
                            <w:r w:rsidR="00F978F3">
                              <w:rPr>
                                <w:lang w:eastAsia="ja-JP"/>
                              </w:rPr>
                              <w:t xml:space="preserve">. The patients </w:t>
                            </w:r>
                            <w:r w:rsidRPr="008B6C5E">
                              <w:rPr>
                                <w:lang w:eastAsia="ja-JP"/>
                              </w:rPr>
                              <w:t xml:space="preserve">underwent MPFL reconstruction using </w:t>
                            </w:r>
                            <w:r w:rsidR="00F978F3">
                              <w:rPr>
                                <w:lang w:eastAsia="ja-JP"/>
                              </w:rPr>
                              <w:t xml:space="preserve">hamstring autograft with </w:t>
                            </w:r>
                            <w:r w:rsidRPr="008B6C5E">
                              <w:rPr>
                                <w:lang w:eastAsia="ja-JP"/>
                              </w:rPr>
                              <w:t>suture anchors for both patellar and femoral graft fixation</w:t>
                            </w:r>
                            <w:r w:rsidR="00F978F3">
                              <w:rPr>
                                <w:lang w:eastAsia="ja-JP"/>
                              </w:rPr>
                              <w:t>.</w:t>
                            </w:r>
                            <w:r w:rsidRPr="008B6C5E">
                              <w:rPr>
                                <w:lang w:eastAsia="ja-JP"/>
                              </w:rPr>
                              <w:t xml:space="preserve"> </w:t>
                            </w:r>
                            <w:r>
                              <w:rPr>
                                <w:lang w:eastAsia="ja-JP"/>
                              </w:rPr>
                              <w:t>The rate of re-dislocation, patellar a</w:t>
                            </w:r>
                            <w:r w:rsidRPr="008B6C5E">
                              <w:rPr>
                                <w:lang w:eastAsia="ja-JP"/>
                              </w:rPr>
                              <w:t>pprehension sign,</w:t>
                            </w:r>
                            <w:r>
                              <w:rPr>
                                <w:lang w:eastAsia="ja-JP"/>
                              </w:rPr>
                              <w:t xml:space="preserve"> and growth disturbance, as well as the </w:t>
                            </w:r>
                            <w:r w:rsidRPr="008B6C5E">
                              <w:rPr>
                                <w:lang w:eastAsia="ja-JP"/>
                              </w:rPr>
                              <w:t>Crosby-Insall grading system</w:t>
                            </w:r>
                            <w:r>
                              <w:rPr>
                                <w:lang w:eastAsia="ja-JP"/>
                              </w:rPr>
                              <w:t xml:space="preserve"> were assessed at the final follow-up. </w:t>
                            </w:r>
                            <w:r>
                              <w:rPr>
                                <w:lang w:eastAsia="ja-JP"/>
                              </w:rPr>
                              <w:t xml:space="preserve">The </w:t>
                            </w:r>
                            <w:r>
                              <w:rPr>
                                <w:lang w:eastAsia="ja-JP"/>
                              </w:rPr>
                              <w:t xml:space="preserve">pre- and post-operative </w:t>
                            </w:r>
                            <w:r w:rsidRPr="008B6C5E">
                              <w:rPr>
                                <w:lang w:eastAsia="ja-JP"/>
                              </w:rPr>
                              <w:t xml:space="preserve">Kujala score </w:t>
                            </w:r>
                            <w:r>
                              <w:rPr>
                                <w:lang w:eastAsia="ja-JP"/>
                              </w:rPr>
                              <w:t>were compared. As radiographic paramenters, t</w:t>
                            </w:r>
                            <w:r w:rsidRPr="008B6C5E">
                              <w:rPr>
                                <w:lang w:eastAsia="ja-JP"/>
                              </w:rPr>
                              <w:t xml:space="preserve">he </w:t>
                            </w:r>
                            <w:r>
                              <w:rPr>
                                <w:lang w:eastAsia="ja-JP"/>
                              </w:rPr>
                              <w:t>Insall-Salvati ratio, Caton-Deschamps index, patellar tilt, and congruence angle were measured and compared before and after the surgery</w:t>
                            </w:r>
                            <w:r w:rsidRPr="008B6C5E">
                              <w:rPr>
                                <w:lang w:eastAsia="ja-JP"/>
                              </w:rPr>
                              <w:t>.</w:t>
                            </w:r>
                          </w:p>
                          <w:p w:rsidR="008B6C5E" w:rsidRPr="008B6C5E" w:rsidRDefault="008B6C5E" w:rsidP="008B6C5E">
                            <w:r w:rsidRPr="008B6C5E">
                              <w:rPr>
                                <w:b/>
                                <w:lang w:eastAsia="ja-JP"/>
                              </w:rPr>
                              <w:t>Results:</w:t>
                            </w:r>
                            <w:r w:rsidRPr="008B6C5E">
                              <w:rPr>
                                <w:lang w:eastAsia="ja-JP"/>
                              </w:rPr>
                              <w:t xml:space="preserve"> </w:t>
                            </w:r>
                            <w:r w:rsidRPr="008B6C5E">
                              <w:rPr>
                                <w:lang w:eastAsia="ja-JP"/>
                              </w:rPr>
                              <w:t>No o</w:t>
                            </w:r>
                            <w:r w:rsidRPr="008B6C5E">
                              <w:rPr>
                                <w:lang w:eastAsia="ja-JP"/>
                              </w:rPr>
                              <w:t xml:space="preserve">bvious growth disturbance was </w:t>
                            </w:r>
                            <w:r w:rsidRPr="008B6C5E">
                              <w:rPr>
                                <w:lang w:eastAsia="ja-JP"/>
                              </w:rPr>
                              <w:t>f</w:t>
                            </w:r>
                            <w:r w:rsidRPr="008B6C5E">
                              <w:rPr>
                                <w:lang w:eastAsia="ja-JP"/>
                              </w:rPr>
                              <w:t xml:space="preserve">ound in all knees. </w:t>
                            </w:r>
                            <w:r w:rsidR="009413B3">
                              <w:rPr>
                                <w:lang w:eastAsia="ja-JP"/>
                              </w:rPr>
                              <w:t>The r</w:t>
                            </w:r>
                            <w:r w:rsidRPr="008B6C5E">
                              <w:rPr>
                                <w:lang w:eastAsia="ja-JP"/>
                              </w:rPr>
                              <w:t>e-dislocation occurred in one knee</w:t>
                            </w:r>
                            <w:r>
                              <w:rPr>
                                <w:lang w:eastAsia="ja-JP"/>
                              </w:rPr>
                              <w:t xml:space="preserve"> (7.7%)</w:t>
                            </w:r>
                            <w:r w:rsidRPr="008B6C5E">
                              <w:rPr>
                                <w:lang w:eastAsia="ja-JP"/>
                              </w:rPr>
                              <w:t xml:space="preserve">. </w:t>
                            </w:r>
                            <w:r>
                              <w:rPr>
                                <w:lang w:eastAsia="ja-JP"/>
                              </w:rPr>
                              <w:t>Patellar a</w:t>
                            </w:r>
                            <w:r w:rsidRPr="008B6C5E">
                              <w:rPr>
                                <w:lang w:eastAsia="ja-JP"/>
                              </w:rPr>
                              <w:t xml:space="preserve">pprehension sign remained in </w:t>
                            </w:r>
                            <w:r w:rsidRPr="008B6C5E">
                              <w:rPr>
                                <w:lang w:eastAsia="ja-JP"/>
                              </w:rPr>
                              <w:t>two</w:t>
                            </w:r>
                            <w:r w:rsidRPr="008B6C5E">
                              <w:rPr>
                                <w:lang w:eastAsia="ja-JP"/>
                              </w:rPr>
                              <w:t xml:space="preserve"> knees </w:t>
                            </w:r>
                            <w:r>
                              <w:rPr>
                                <w:lang w:eastAsia="ja-JP"/>
                              </w:rPr>
                              <w:t xml:space="preserve">(15.3%) </w:t>
                            </w:r>
                            <w:r w:rsidRPr="008B6C5E">
                              <w:rPr>
                                <w:lang w:eastAsia="ja-JP"/>
                              </w:rPr>
                              <w:t xml:space="preserve">after </w:t>
                            </w:r>
                            <w:r w:rsidRPr="008B6C5E">
                              <w:rPr>
                                <w:lang w:eastAsia="ja-JP"/>
                              </w:rPr>
                              <w:t xml:space="preserve">the </w:t>
                            </w:r>
                            <w:r w:rsidRPr="008B6C5E">
                              <w:rPr>
                                <w:lang w:eastAsia="ja-JP"/>
                              </w:rPr>
                              <w:t>surgery. The mean Kujala score significantly improved from 77.2 to 98.2</w:t>
                            </w:r>
                            <w:r>
                              <w:rPr>
                                <w:lang w:eastAsia="ja-JP"/>
                              </w:rPr>
                              <w:t xml:space="preserve"> (p</w:t>
                            </w:r>
                            <w:r w:rsidR="009413B3">
                              <w:rPr>
                                <w:lang w:eastAsia="ja-JP"/>
                              </w:rPr>
                              <w:t xml:space="preserve"> </w:t>
                            </w:r>
                            <w:r>
                              <w:rPr>
                                <w:lang w:eastAsia="ja-JP"/>
                              </w:rPr>
                              <w:t>&lt;</w:t>
                            </w:r>
                            <w:r w:rsidR="009413B3">
                              <w:rPr>
                                <w:lang w:eastAsia="ja-JP"/>
                              </w:rPr>
                              <w:t xml:space="preserve"> </w:t>
                            </w:r>
                            <w:r>
                              <w:rPr>
                                <w:lang w:eastAsia="ja-JP"/>
                              </w:rPr>
                              <w:t>0.01)</w:t>
                            </w:r>
                            <w:r w:rsidRPr="008B6C5E">
                              <w:rPr>
                                <w:lang w:eastAsia="ja-JP"/>
                              </w:rPr>
                              <w:t>.</w:t>
                            </w:r>
                            <w:r>
                              <w:rPr>
                                <w:lang w:eastAsia="ja-JP"/>
                              </w:rPr>
                              <w:t xml:space="preserve"> </w:t>
                            </w:r>
                            <w:r w:rsidRPr="008B6C5E">
                              <w:rPr>
                                <w:lang w:eastAsia="ja-JP"/>
                              </w:rPr>
                              <w:t>T</w:t>
                            </w:r>
                            <w:r w:rsidRPr="008B6C5E">
                              <w:rPr>
                                <w:lang w:eastAsia="ja-JP"/>
                              </w:rPr>
                              <w:t xml:space="preserve">he Crosby-Insall grades were excellent in </w:t>
                            </w:r>
                            <w:r w:rsidRPr="008B6C5E">
                              <w:rPr>
                                <w:lang w:eastAsia="ja-JP"/>
                              </w:rPr>
                              <w:t>eight</w:t>
                            </w:r>
                            <w:r w:rsidRPr="008B6C5E">
                              <w:rPr>
                                <w:lang w:eastAsia="ja-JP"/>
                              </w:rPr>
                              <w:t xml:space="preserve"> knees </w:t>
                            </w:r>
                            <w:r>
                              <w:rPr>
                                <w:lang w:eastAsia="ja-JP"/>
                              </w:rPr>
                              <w:t xml:space="preserve">(61.5%) </w:t>
                            </w:r>
                            <w:r w:rsidRPr="008B6C5E">
                              <w:rPr>
                                <w:lang w:eastAsia="ja-JP"/>
                              </w:rPr>
                              <w:t xml:space="preserve">and good in </w:t>
                            </w:r>
                            <w:r w:rsidRPr="008B6C5E">
                              <w:rPr>
                                <w:lang w:eastAsia="ja-JP"/>
                              </w:rPr>
                              <w:t>five</w:t>
                            </w:r>
                            <w:r w:rsidRPr="008B6C5E">
                              <w:rPr>
                                <w:lang w:eastAsia="ja-JP"/>
                              </w:rPr>
                              <w:t xml:space="preserve"> knees</w:t>
                            </w:r>
                            <w:r>
                              <w:rPr>
                                <w:lang w:eastAsia="ja-JP"/>
                              </w:rPr>
                              <w:t xml:space="preserve"> (38.5%)</w:t>
                            </w:r>
                            <w:r w:rsidRPr="008B6C5E">
                              <w:rPr>
                                <w:lang w:eastAsia="ja-JP"/>
                              </w:rPr>
                              <w:t xml:space="preserve"> at the final follow-up. The</w:t>
                            </w:r>
                            <w:r w:rsidR="009413B3">
                              <w:rPr>
                                <w:lang w:eastAsia="ja-JP"/>
                              </w:rPr>
                              <w:t xml:space="preserve"> s</w:t>
                            </w:r>
                            <w:r>
                              <w:rPr>
                                <w:lang w:eastAsia="ja-JP"/>
                              </w:rPr>
                              <w:t xml:space="preserve">ignificant improvements were oberseved after the surgery in </w:t>
                            </w:r>
                            <w:r w:rsidRPr="008B6C5E">
                              <w:rPr>
                                <w:lang w:eastAsia="ja-JP"/>
                              </w:rPr>
                              <w:t>patellar tilt</w:t>
                            </w:r>
                            <w:r>
                              <w:rPr>
                                <w:lang w:eastAsia="ja-JP"/>
                              </w:rPr>
                              <w:t xml:space="preserve"> (17.9</w:t>
                            </w:r>
                            <w:r w:rsidRPr="008B6C5E">
                              <w:rPr>
                                <w:lang w:eastAsia="ja-JP"/>
                              </w:rPr>
                              <w:t>°</w:t>
                            </w:r>
                            <w:r>
                              <w:rPr>
                                <w:lang w:eastAsia="ja-JP"/>
                              </w:rPr>
                              <w:t xml:space="preserve"> to 14.6</w:t>
                            </w:r>
                            <w:bookmarkStart w:id="0" w:name="OLE_LINK12"/>
                            <w:bookmarkStart w:id="1" w:name="OLE_LINK13"/>
                            <w:r w:rsidRPr="008B6C5E">
                              <w:rPr>
                                <w:lang w:eastAsia="ja-JP"/>
                              </w:rPr>
                              <w:t>°</w:t>
                            </w:r>
                            <w:bookmarkEnd w:id="0"/>
                            <w:bookmarkEnd w:id="1"/>
                            <w:r>
                              <w:rPr>
                                <w:lang w:eastAsia="ja-JP"/>
                              </w:rPr>
                              <w:t>)</w:t>
                            </w:r>
                            <w:r w:rsidRPr="008B6C5E">
                              <w:rPr>
                                <w:lang w:eastAsia="ja-JP"/>
                              </w:rPr>
                              <w:t xml:space="preserve"> and the congruence angle </w:t>
                            </w:r>
                            <w:r>
                              <w:rPr>
                                <w:lang w:eastAsia="ja-JP"/>
                              </w:rPr>
                              <w:t>(15.0</w:t>
                            </w:r>
                            <w:r w:rsidRPr="008B6C5E">
                              <w:rPr>
                                <w:lang w:eastAsia="ja-JP"/>
                              </w:rPr>
                              <w:t>°</w:t>
                            </w:r>
                            <w:r>
                              <w:rPr>
                                <w:lang w:eastAsia="ja-JP"/>
                              </w:rPr>
                              <w:t xml:space="preserve"> to 1.9</w:t>
                            </w:r>
                            <w:r w:rsidRPr="008B6C5E">
                              <w:rPr>
                                <w:lang w:eastAsia="ja-JP"/>
                              </w:rPr>
                              <w:t>°</w:t>
                            </w:r>
                            <w:r>
                              <w:rPr>
                                <w:lang w:eastAsia="ja-JP"/>
                              </w:rPr>
                              <w:t xml:space="preserve">) </w:t>
                            </w:r>
                            <w:r>
                              <w:rPr>
                                <w:lang w:eastAsia="ja-JP"/>
                              </w:rPr>
                              <w:t>compared to the pre-operation</w:t>
                            </w:r>
                            <w:r>
                              <w:rPr>
                                <w:lang w:eastAsia="ja-JP"/>
                              </w:rPr>
                              <w:t xml:space="preserve"> (p &lt; 0.05)</w:t>
                            </w:r>
                            <w:r w:rsidRPr="008B6C5E">
                              <w:rPr>
                                <w:lang w:eastAsia="ja-JP"/>
                              </w:rPr>
                              <w:t>.</w:t>
                            </w:r>
                            <w:r w:rsidRPr="008B6C5E">
                              <w:t xml:space="preserve"> </w:t>
                            </w:r>
                          </w:p>
                          <w:p w:rsidR="008B6C5E" w:rsidRDefault="008B6C5E">
                            <w:pPr>
                              <w:rPr>
                                <w:rFonts w:hint="eastAsia"/>
                                <w:lang w:eastAsia="ja-JP"/>
                              </w:rPr>
                            </w:pPr>
                            <w:r w:rsidRPr="008B6C5E">
                              <w:rPr>
                                <w:b/>
                                <w:lang w:eastAsia="ja-JP"/>
                              </w:rPr>
                              <w:t>Conclusions:</w:t>
                            </w:r>
                            <w:r w:rsidRPr="008B6C5E">
                              <w:rPr>
                                <w:lang w:eastAsia="ja-JP"/>
                              </w:rPr>
                              <w:t xml:space="preserve"> MPFL reconstruction using suture anchors could be a choice of treatment in skeletally immature patients with recurrent patellar dislocation.</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4.95pt;width:480pt;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" o:allowincell="f" strokecolor="blue">
                <v:textbox>
                  <w:txbxContent>
                    <w:p w:rsidR="008B6C5E" w:rsidRPr="008B6C5E" w:rsidRDefault="008B6C5E" w:rsidP="008B6C5E">
                      <w:pPr>
                        <w:rPr>
                          <w:color w:val="000000"/>
                          <w:lang w:val="en-GB"/>
                        </w:rPr>
                      </w:pPr>
                      <w:r w:rsidRPr="008B6C5E">
                        <w:rPr>
                          <w:color w:val="000000"/>
                          <w:lang w:val="en-GB"/>
                        </w:rPr>
                        <w:t>AUTHOR, CO–AUTHORS</w:t>
                      </w:r>
                      <w:r w:rsidRPr="008B6C5E">
                        <w:rPr>
                          <w:b/>
                          <w:color w:val="000000"/>
                          <w:lang w:val="en-GB"/>
                        </w:rPr>
                        <w:t xml:space="preserve"> </w:t>
                      </w:r>
                      <w:r w:rsidRPr="008B6C5E">
                        <w:rPr>
                          <w:color w:val="000000"/>
                          <w:lang w:val="en-GB"/>
                        </w:rPr>
                        <w:t>(underline name of presenter)</w:t>
                      </w:r>
                    </w:p>
                    <w:p w:rsidR="008B6C5E" w:rsidRPr="008B6C5E" w:rsidRDefault="008B6C5E" w:rsidP="008B6C5E">
                      <w:pPr>
                        <w:rPr>
                          <w:color w:val="000000"/>
                          <w:lang w:val="en-GB" w:eastAsia="ja-JP"/>
                        </w:rPr>
                      </w:pPr>
                      <w:r w:rsidRPr="008B6C5E">
                        <w:rPr>
                          <w:color w:val="000000"/>
                          <w:u w:val="single"/>
                          <w:lang w:val="en-GB" w:eastAsia="ja-JP"/>
                        </w:rPr>
                        <w:t>Kanto Nagai</w:t>
                      </w:r>
                      <w:r w:rsidRPr="008B6C5E">
                        <w:rPr>
                          <w:color w:val="000000"/>
                          <w:lang w:val="en-GB" w:eastAsia="ja-JP"/>
                        </w:rPr>
                        <w:t>, Shu Watanabe, Takehiko Matsushita, Ryosuke Kuroda</w:t>
                      </w:r>
                    </w:p>
                    <w:p w:rsidR="008B6C5E" w:rsidRPr="008B6C5E" w:rsidRDefault="008B6C5E" w:rsidP="008B6C5E">
                      <w:pPr>
                        <w:rPr>
                          <w:color w:val="000000"/>
                          <w:lang w:val="en-GB"/>
                        </w:rPr>
                      </w:pPr>
                    </w:p>
                    <w:p w:rsidR="008B6C5E" w:rsidRPr="008B6C5E" w:rsidRDefault="008B6C5E" w:rsidP="008B6C5E">
                      <w:pPr>
                        <w:rPr>
                          <w:color w:val="000000"/>
                          <w:lang w:val="en-GB"/>
                        </w:rPr>
                      </w:pPr>
                      <w:r w:rsidRPr="008B6C5E">
                        <w:rPr>
                          <w:color w:val="000000"/>
                          <w:lang w:val="en-GB"/>
                        </w:rPr>
                        <w:t>INSTITUTION</w:t>
                      </w:r>
                      <w:r w:rsidRPr="008B6C5E">
                        <w:rPr>
                          <w:color w:val="000000"/>
                          <w:lang w:val="en-GB"/>
                        </w:rPr>
                        <w:t xml:space="preserve">: </w:t>
                      </w:r>
                      <w:r w:rsidRPr="008B6C5E">
                        <w:rPr>
                          <w:color w:val="000000"/>
                          <w:lang w:val="en-GB"/>
                        </w:rPr>
                        <w:t>Department of Orthopaedic Surgery, Kobe University Graduate School of Medicine, Kobe, JAPAN</w:t>
                      </w:r>
                    </w:p>
                    <w:p w:rsidR="008B6C5E" w:rsidRPr="008B6C5E" w:rsidRDefault="008B6C5E" w:rsidP="008B6C5E">
                      <w:pPr>
                        <w:rPr>
                          <w:color w:val="000000"/>
                          <w:lang w:val="en-GB"/>
                        </w:rPr>
                      </w:pPr>
                    </w:p>
                    <w:p w:rsidR="008B6C5E" w:rsidRPr="008B6C5E" w:rsidRDefault="008B6C5E" w:rsidP="008B6C5E">
                      <w:pPr>
                        <w:rPr>
                          <w:color w:val="000000"/>
                          <w:lang w:val="en-GB"/>
                        </w:rPr>
                      </w:pPr>
                      <w:r w:rsidRPr="008B6C5E">
                        <w:rPr>
                          <w:color w:val="000000"/>
                          <w:lang w:val="en-GB"/>
                        </w:rPr>
                        <w:t>TITLE OF ABSTRACT</w:t>
                      </w:r>
                      <w:r w:rsidRPr="008B6C5E">
                        <w:rPr>
                          <w:color w:val="000000"/>
                          <w:lang w:val="en-GB"/>
                        </w:rPr>
                        <w:t xml:space="preserve">: </w:t>
                      </w:r>
                    </w:p>
                    <w:p w:rsidR="008B6C5E" w:rsidRPr="008B6C5E" w:rsidRDefault="008B6C5E" w:rsidP="008B6C5E">
                      <w:pPr>
                        <w:rPr>
                          <w:color w:val="000000"/>
                          <w:lang w:val="en-GB"/>
                        </w:rPr>
                      </w:pPr>
                      <w:r w:rsidRPr="008B6C5E">
                        <w:rPr>
                          <w:color w:val="000000"/>
                          <w:lang w:val="en-GB"/>
                        </w:rPr>
                        <w:t>C</w:t>
                      </w:r>
                      <w:r w:rsidRPr="008B6C5E">
                        <w:rPr>
                          <w:color w:val="000000"/>
                          <w:lang w:val="en-GB"/>
                        </w:rPr>
                        <w:t>LINICAL OUTCOMES OF MEDIAL PATELLOFEMORAL LIGAMENT RECONSTRUCTION USING SUTURE ANCHORS IN SKELETALLY IMMATURE PATIENTS WITH</w:t>
                      </w:r>
                      <w:r w:rsidRPr="008B6C5E">
                        <w:rPr>
                          <w:color w:val="000000"/>
                          <w:lang w:val="en-GB"/>
                        </w:rPr>
                        <w:t xml:space="preserve"> R</w:t>
                      </w:r>
                      <w:r w:rsidRPr="008B6C5E">
                        <w:rPr>
                          <w:color w:val="000000"/>
                          <w:lang w:val="en-GB"/>
                        </w:rPr>
                        <w:t xml:space="preserve">ECURRENT </w:t>
                      </w:r>
                      <w:r w:rsidRPr="008B6C5E">
                        <w:rPr>
                          <w:color w:val="000000"/>
                          <w:lang w:val="en-GB"/>
                        </w:rPr>
                        <w:t>P</w:t>
                      </w:r>
                      <w:r w:rsidRPr="008B6C5E">
                        <w:rPr>
                          <w:color w:val="000000"/>
                          <w:lang w:val="en-GB"/>
                        </w:rPr>
                        <w:t>ATELLAR DISLOCATION</w:t>
                      </w:r>
                    </w:p>
                    <w:p w:rsidR="008B6C5E" w:rsidRPr="008B6C5E" w:rsidRDefault="008B6C5E" w:rsidP="008B6C5E">
                      <w:pPr>
                        <w:rPr>
                          <w:color w:val="000000"/>
                          <w:lang w:val="en-GB"/>
                        </w:rPr>
                      </w:pPr>
                    </w:p>
                    <w:p w:rsidR="008B6C5E" w:rsidRPr="008B6C5E" w:rsidRDefault="008B6C5E" w:rsidP="008B6C5E">
                      <w:r w:rsidRPr="008B6C5E">
                        <w:rPr>
                          <w:lang w:eastAsia="ja-JP"/>
                        </w:rPr>
                        <w:t>ABSTRACT</w:t>
                      </w:r>
                      <w:r>
                        <w:rPr>
                          <w:lang w:eastAsia="ja-JP"/>
                        </w:rPr>
                        <w:t>:</w:t>
                      </w:r>
                    </w:p>
                    <w:p w:rsidR="008B6C5E" w:rsidRPr="008B6C5E" w:rsidRDefault="008B6C5E" w:rsidP="008B6C5E">
                      <w:pPr>
                        <w:rPr>
                          <w:lang w:eastAsia="ja-JP"/>
                        </w:rPr>
                      </w:pPr>
                      <w:r w:rsidRPr="008B6C5E">
                        <w:rPr>
                          <w:b/>
                          <w:lang w:eastAsia="ja-JP"/>
                        </w:rPr>
                        <w:t>Background:</w:t>
                      </w:r>
                      <w:r w:rsidRPr="008B6C5E">
                        <w:rPr>
                          <w:lang w:eastAsia="ja-JP"/>
                        </w:rPr>
                        <w:t xml:space="preserve"> </w:t>
                      </w:r>
                      <w:r w:rsidRPr="008B6C5E">
                        <w:rPr>
                          <w:lang w:eastAsia="ja-JP"/>
                        </w:rPr>
                        <w:t xml:space="preserve">Surgical </w:t>
                      </w:r>
                      <w:r>
                        <w:rPr>
                          <w:lang w:eastAsia="ja-JP"/>
                        </w:rPr>
                        <w:t>procedures</w:t>
                      </w:r>
                      <w:r w:rsidRPr="008B6C5E">
                        <w:rPr>
                          <w:lang w:eastAsia="ja-JP"/>
                        </w:rPr>
                        <w:t xml:space="preserve"> for skeletally immature patients with </w:t>
                      </w:r>
                      <w:r w:rsidRPr="008B6C5E">
                        <w:rPr>
                          <w:lang w:eastAsia="ja-JP"/>
                        </w:rPr>
                        <w:t xml:space="preserve">recurrent </w:t>
                      </w:r>
                      <w:r w:rsidRPr="008B6C5E">
                        <w:rPr>
                          <w:lang w:eastAsia="ja-JP"/>
                        </w:rPr>
                        <w:t xml:space="preserve">patellar dislocation have not yet been established. </w:t>
                      </w:r>
                      <w:r>
                        <w:rPr>
                          <w:lang w:eastAsia="ja-JP"/>
                        </w:rPr>
                        <w:t>The purpose of the present study was t</w:t>
                      </w:r>
                      <w:r w:rsidRPr="008B6C5E">
                        <w:rPr>
                          <w:lang w:eastAsia="ja-JP"/>
                        </w:rPr>
                        <w:t xml:space="preserve">o assess clinical outcomes of </w:t>
                      </w:r>
                      <w:r w:rsidR="009413B3">
                        <w:rPr>
                          <w:rFonts w:hint="eastAsia"/>
                          <w:lang w:eastAsia="ja-JP"/>
                        </w:rPr>
                        <w:t>m</w:t>
                      </w:r>
                      <w:r w:rsidRPr="008B6C5E">
                        <w:rPr>
                          <w:lang w:eastAsia="ja-JP"/>
                        </w:rPr>
                        <w:t>edial patellofemoral ligament (MPFL) reconstruction using suture anchors in skeletally immature patients with recurrent patellar dislocation.</w:t>
                      </w:r>
                    </w:p>
                    <w:p w:rsidR="008B6C5E" w:rsidRPr="008B6C5E" w:rsidRDefault="008B6C5E" w:rsidP="008B6C5E">
                      <w:pPr>
                        <w:rPr>
                          <w:lang w:eastAsia="ja-JP"/>
                        </w:rPr>
                      </w:pPr>
                      <w:r w:rsidRPr="008B6C5E">
                        <w:rPr>
                          <w:b/>
                          <w:lang w:eastAsia="ja-JP"/>
                        </w:rPr>
                        <w:t>Methods</w:t>
                      </w:r>
                      <w:r w:rsidRPr="008B6C5E">
                        <w:rPr>
                          <w:b/>
                          <w:lang w:eastAsia="ja-JP"/>
                        </w:rPr>
                        <w:t>:</w:t>
                      </w:r>
                      <w:r w:rsidRPr="008B6C5E">
                        <w:rPr>
                          <w:b/>
                          <w:lang w:eastAsia="ja-JP"/>
                        </w:rPr>
                        <w:t xml:space="preserve"> </w:t>
                      </w:r>
                      <w:r w:rsidRPr="008B6C5E">
                        <w:rPr>
                          <w:lang w:eastAsia="ja-JP"/>
                        </w:rPr>
                        <w:t>Thirteen knees of t</w:t>
                      </w:r>
                      <w:r w:rsidRPr="008B6C5E">
                        <w:rPr>
                          <w:lang w:eastAsia="ja-JP"/>
                        </w:rPr>
                        <w:t>en skeletally immature adolescents</w:t>
                      </w:r>
                      <w:r w:rsidR="00F978F3">
                        <w:rPr>
                          <w:rFonts w:hint="eastAsia"/>
                          <w:lang w:eastAsia="ja-JP"/>
                        </w:rPr>
                        <w:t xml:space="preserve"> </w:t>
                      </w:r>
                      <w:r w:rsidR="00F978F3" w:rsidRPr="008B6C5E">
                        <w:rPr>
                          <w:lang w:eastAsia="ja-JP"/>
                        </w:rPr>
                        <w:t>(</w:t>
                      </w:r>
                      <w:r w:rsidR="00F978F3">
                        <w:rPr>
                          <w:lang w:eastAsia="ja-JP"/>
                        </w:rPr>
                        <w:t>a</w:t>
                      </w:r>
                      <w:r w:rsidR="00F978F3" w:rsidRPr="008B6C5E">
                        <w:rPr>
                          <w:lang w:eastAsia="ja-JP"/>
                        </w:rPr>
                        <w:t>ge, 14</w:t>
                      </w:r>
                      <w:r w:rsidR="00F978F3" w:rsidRPr="008B6C5E">
                        <w:rPr>
                          <w:color w:val="000000" w:themeColor="text1"/>
                          <w:kern w:val="24"/>
                          <w:szCs w:val="40"/>
                          <w:eastAsianLayout w:id="-1536335098"/>
                        </w:rPr>
                        <w:t>±</w:t>
                      </w:r>
                      <w:r w:rsidR="00F978F3" w:rsidRPr="008B6C5E">
                        <w:rPr>
                          <w:color w:val="000000" w:themeColor="text1"/>
                          <w:kern w:val="24"/>
                          <w:szCs w:val="40"/>
                        </w:rPr>
                        <w:t xml:space="preserve">2 </w:t>
                      </w:r>
                      <w:r w:rsidR="00F978F3" w:rsidRPr="008B6C5E">
                        <w:rPr>
                          <w:lang w:eastAsia="ja-JP"/>
                        </w:rPr>
                        <w:t>years; M/F: 5/8)</w:t>
                      </w:r>
                      <w:r w:rsidR="00F978F3">
                        <w:rPr>
                          <w:lang w:eastAsia="ja-JP"/>
                        </w:rPr>
                        <w:t xml:space="preserve"> with recurrent patellar dislocation</w:t>
                      </w:r>
                      <w:r w:rsidR="00F978F3" w:rsidRPr="00F978F3">
                        <w:rPr>
                          <w:lang w:eastAsia="ja-JP"/>
                        </w:rPr>
                        <w:t xml:space="preserve"> </w:t>
                      </w:r>
                      <w:r w:rsidR="00F978F3" w:rsidRPr="008B6C5E">
                        <w:rPr>
                          <w:lang w:eastAsia="ja-JP"/>
                        </w:rPr>
                        <w:t>were enrolled</w:t>
                      </w:r>
                      <w:r w:rsidR="009413B3" w:rsidRPr="009413B3">
                        <w:rPr>
                          <w:lang w:eastAsia="ja-JP"/>
                        </w:rPr>
                        <w:t xml:space="preserve"> </w:t>
                      </w:r>
                      <w:r w:rsidR="009413B3">
                        <w:rPr>
                          <w:lang w:eastAsia="ja-JP"/>
                        </w:rPr>
                        <w:t>(</w:t>
                      </w:r>
                      <w:r w:rsidR="009413B3" w:rsidRPr="008B6C5E">
                        <w:rPr>
                          <w:lang w:eastAsia="ja-JP"/>
                        </w:rPr>
                        <w:t>mean follow-up</w:t>
                      </w:r>
                      <w:r w:rsidR="009413B3">
                        <w:rPr>
                          <w:lang w:eastAsia="ja-JP"/>
                        </w:rPr>
                        <w:t xml:space="preserve">: </w:t>
                      </w:r>
                      <w:r w:rsidR="009413B3" w:rsidRPr="008B6C5E">
                        <w:rPr>
                          <w:lang w:eastAsia="ja-JP"/>
                        </w:rPr>
                        <w:t>4.1± 1.8 years</w:t>
                      </w:r>
                      <w:r w:rsidR="009413B3">
                        <w:rPr>
                          <w:lang w:eastAsia="ja-JP"/>
                        </w:rPr>
                        <w:t>)</w:t>
                      </w:r>
                      <w:r w:rsidR="00F978F3">
                        <w:rPr>
                          <w:lang w:eastAsia="ja-JP"/>
                        </w:rPr>
                        <w:t xml:space="preserve">. The patients </w:t>
                      </w:r>
                      <w:r w:rsidRPr="008B6C5E">
                        <w:rPr>
                          <w:lang w:eastAsia="ja-JP"/>
                        </w:rPr>
                        <w:t xml:space="preserve">underwent MPFL reconstruction using </w:t>
                      </w:r>
                      <w:r w:rsidR="00F978F3">
                        <w:rPr>
                          <w:lang w:eastAsia="ja-JP"/>
                        </w:rPr>
                        <w:t xml:space="preserve">hamstring autograft with </w:t>
                      </w:r>
                      <w:r w:rsidRPr="008B6C5E">
                        <w:rPr>
                          <w:lang w:eastAsia="ja-JP"/>
                        </w:rPr>
                        <w:t>suture anchors for both patellar and femoral graft fixation</w:t>
                      </w:r>
                      <w:r w:rsidR="00F978F3">
                        <w:rPr>
                          <w:lang w:eastAsia="ja-JP"/>
                        </w:rPr>
                        <w:t>.</w:t>
                      </w:r>
                      <w:r w:rsidRPr="008B6C5E">
                        <w:rPr>
                          <w:lang w:eastAsia="ja-JP"/>
                        </w:rPr>
                        <w:t xml:space="preserve"> </w:t>
                      </w:r>
                      <w:r>
                        <w:rPr>
                          <w:lang w:eastAsia="ja-JP"/>
                        </w:rPr>
                        <w:t>The rate of re-dislocation, patellar a</w:t>
                      </w:r>
                      <w:r w:rsidRPr="008B6C5E">
                        <w:rPr>
                          <w:lang w:eastAsia="ja-JP"/>
                        </w:rPr>
                        <w:t>pprehension sign,</w:t>
                      </w:r>
                      <w:r>
                        <w:rPr>
                          <w:lang w:eastAsia="ja-JP"/>
                        </w:rPr>
                        <w:t xml:space="preserve"> and growth disturbance, as well as the </w:t>
                      </w:r>
                      <w:r w:rsidRPr="008B6C5E">
                        <w:rPr>
                          <w:lang w:eastAsia="ja-JP"/>
                        </w:rPr>
                        <w:t>Crosby-Insall grading system</w:t>
                      </w:r>
                      <w:r>
                        <w:rPr>
                          <w:lang w:eastAsia="ja-JP"/>
                        </w:rPr>
                        <w:t xml:space="preserve"> were assessed at the final follow-up. </w:t>
                      </w:r>
                      <w:r>
                        <w:rPr>
                          <w:lang w:eastAsia="ja-JP"/>
                        </w:rPr>
                        <w:t xml:space="preserve">The </w:t>
                      </w:r>
                      <w:r>
                        <w:rPr>
                          <w:lang w:eastAsia="ja-JP"/>
                        </w:rPr>
                        <w:t xml:space="preserve">pre- and post-operative </w:t>
                      </w:r>
                      <w:r w:rsidRPr="008B6C5E">
                        <w:rPr>
                          <w:lang w:eastAsia="ja-JP"/>
                        </w:rPr>
                        <w:t xml:space="preserve">Kujala score </w:t>
                      </w:r>
                      <w:r>
                        <w:rPr>
                          <w:lang w:eastAsia="ja-JP"/>
                        </w:rPr>
                        <w:t>were compared. As radiographic paramenters, t</w:t>
                      </w:r>
                      <w:r w:rsidRPr="008B6C5E">
                        <w:rPr>
                          <w:lang w:eastAsia="ja-JP"/>
                        </w:rPr>
                        <w:t xml:space="preserve">he </w:t>
                      </w:r>
                      <w:r>
                        <w:rPr>
                          <w:lang w:eastAsia="ja-JP"/>
                        </w:rPr>
                        <w:t>Insall-Salvati ratio, Caton-Deschamps index, patellar tilt, and congruence angle were measured and compared before and after the surgery</w:t>
                      </w:r>
                      <w:r w:rsidRPr="008B6C5E">
                        <w:rPr>
                          <w:lang w:eastAsia="ja-JP"/>
                        </w:rPr>
                        <w:t>.</w:t>
                      </w:r>
                    </w:p>
                    <w:p w:rsidR="008B6C5E" w:rsidRPr="008B6C5E" w:rsidRDefault="008B6C5E" w:rsidP="008B6C5E">
                      <w:r w:rsidRPr="008B6C5E">
                        <w:rPr>
                          <w:b/>
                          <w:lang w:eastAsia="ja-JP"/>
                        </w:rPr>
                        <w:t>Results:</w:t>
                      </w:r>
                      <w:r w:rsidRPr="008B6C5E">
                        <w:rPr>
                          <w:lang w:eastAsia="ja-JP"/>
                        </w:rPr>
                        <w:t xml:space="preserve"> </w:t>
                      </w:r>
                      <w:r w:rsidRPr="008B6C5E">
                        <w:rPr>
                          <w:lang w:eastAsia="ja-JP"/>
                        </w:rPr>
                        <w:t>No o</w:t>
                      </w:r>
                      <w:r w:rsidRPr="008B6C5E">
                        <w:rPr>
                          <w:lang w:eastAsia="ja-JP"/>
                        </w:rPr>
                        <w:t xml:space="preserve">bvious growth disturbance was </w:t>
                      </w:r>
                      <w:r w:rsidRPr="008B6C5E">
                        <w:rPr>
                          <w:lang w:eastAsia="ja-JP"/>
                        </w:rPr>
                        <w:t>f</w:t>
                      </w:r>
                      <w:r w:rsidRPr="008B6C5E">
                        <w:rPr>
                          <w:lang w:eastAsia="ja-JP"/>
                        </w:rPr>
                        <w:t xml:space="preserve">ound in all knees. </w:t>
                      </w:r>
                      <w:r w:rsidR="009413B3">
                        <w:rPr>
                          <w:lang w:eastAsia="ja-JP"/>
                        </w:rPr>
                        <w:t>The r</w:t>
                      </w:r>
                      <w:r w:rsidRPr="008B6C5E">
                        <w:rPr>
                          <w:lang w:eastAsia="ja-JP"/>
                        </w:rPr>
                        <w:t>e-dislocation occurred in one knee</w:t>
                      </w:r>
                      <w:r>
                        <w:rPr>
                          <w:lang w:eastAsia="ja-JP"/>
                        </w:rPr>
                        <w:t xml:space="preserve"> (7.7%)</w:t>
                      </w:r>
                      <w:r w:rsidRPr="008B6C5E">
                        <w:rPr>
                          <w:lang w:eastAsia="ja-JP"/>
                        </w:rPr>
                        <w:t xml:space="preserve">. </w:t>
                      </w:r>
                      <w:r>
                        <w:rPr>
                          <w:lang w:eastAsia="ja-JP"/>
                        </w:rPr>
                        <w:t>Patellar a</w:t>
                      </w:r>
                      <w:r w:rsidRPr="008B6C5E">
                        <w:rPr>
                          <w:lang w:eastAsia="ja-JP"/>
                        </w:rPr>
                        <w:t xml:space="preserve">pprehension sign remained in </w:t>
                      </w:r>
                      <w:r w:rsidRPr="008B6C5E">
                        <w:rPr>
                          <w:lang w:eastAsia="ja-JP"/>
                        </w:rPr>
                        <w:t>two</w:t>
                      </w:r>
                      <w:r w:rsidRPr="008B6C5E">
                        <w:rPr>
                          <w:lang w:eastAsia="ja-JP"/>
                        </w:rPr>
                        <w:t xml:space="preserve"> knees </w:t>
                      </w:r>
                      <w:r>
                        <w:rPr>
                          <w:lang w:eastAsia="ja-JP"/>
                        </w:rPr>
                        <w:t xml:space="preserve">(15.3%) </w:t>
                      </w:r>
                      <w:r w:rsidRPr="008B6C5E">
                        <w:rPr>
                          <w:lang w:eastAsia="ja-JP"/>
                        </w:rPr>
                        <w:t xml:space="preserve">after </w:t>
                      </w:r>
                      <w:r w:rsidRPr="008B6C5E">
                        <w:rPr>
                          <w:lang w:eastAsia="ja-JP"/>
                        </w:rPr>
                        <w:t xml:space="preserve">the </w:t>
                      </w:r>
                      <w:r w:rsidRPr="008B6C5E">
                        <w:rPr>
                          <w:lang w:eastAsia="ja-JP"/>
                        </w:rPr>
                        <w:t>surgery. The mean Kujala score significantly improved from 77.2 to 98.2</w:t>
                      </w:r>
                      <w:r>
                        <w:rPr>
                          <w:lang w:eastAsia="ja-JP"/>
                        </w:rPr>
                        <w:t xml:space="preserve"> (p</w:t>
                      </w:r>
                      <w:r w:rsidR="009413B3">
                        <w:rPr>
                          <w:lang w:eastAsia="ja-JP"/>
                        </w:rPr>
                        <w:t xml:space="preserve"> </w:t>
                      </w:r>
                      <w:r>
                        <w:rPr>
                          <w:lang w:eastAsia="ja-JP"/>
                        </w:rPr>
                        <w:t>&lt;</w:t>
                      </w:r>
                      <w:r w:rsidR="009413B3">
                        <w:rPr>
                          <w:lang w:eastAsia="ja-JP"/>
                        </w:rPr>
                        <w:t xml:space="preserve"> </w:t>
                      </w:r>
                      <w:r>
                        <w:rPr>
                          <w:lang w:eastAsia="ja-JP"/>
                        </w:rPr>
                        <w:t>0.01)</w:t>
                      </w:r>
                      <w:r w:rsidRPr="008B6C5E">
                        <w:rPr>
                          <w:lang w:eastAsia="ja-JP"/>
                        </w:rPr>
                        <w:t>.</w:t>
                      </w:r>
                      <w:r>
                        <w:rPr>
                          <w:lang w:eastAsia="ja-JP"/>
                        </w:rPr>
                        <w:t xml:space="preserve"> </w:t>
                      </w:r>
                      <w:r w:rsidRPr="008B6C5E">
                        <w:rPr>
                          <w:lang w:eastAsia="ja-JP"/>
                        </w:rPr>
                        <w:t>T</w:t>
                      </w:r>
                      <w:r w:rsidRPr="008B6C5E">
                        <w:rPr>
                          <w:lang w:eastAsia="ja-JP"/>
                        </w:rPr>
                        <w:t xml:space="preserve">he Crosby-Insall grades were excellent in </w:t>
                      </w:r>
                      <w:r w:rsidRPr="008B6C5E">
                        <w:rPr>
                          <w:lang w:eastAsia="ja-JP"/>
                        </w:rPr>
                        <w:t>eight</w:t>
                      </w:r>
                      <w:r w:rsidRPr="008B6C5E">
                        <w:rPr>
                          <w:lang w:eastAsia="ja-JP"/>
                        </w:rPr>
                        <w:t xml:space="preserve"> knees </w:t>
                      </w:r>
                      <w:r>
                        <w:rPr>
                          <w:lang w:eastAsia="ja-JP"/>
                        </w:rPr>
                        <w:t xml:space="preserve">(61.5%) </w:t>
                      </w:r>
                      <w:r w:rsidRPr="008B6C5E">
                        <w:rPr>
                          <w:lang w:eastAsia="ja-JP"/>
                        </w:rPr>
                        <w:t xml:space="preserve">and good in </w:t>
                      </w:r>
                      <w:r w:rsidRPr="008B6C5E">
                        <w:rPr>
                          <w:lang w:eastAsia="ja-JP"/>
                        </w:rPr>
                        <w:t>five</w:t>
                      </w:r>
                      <w:r w:rsidRPr="008B6C5E">
                        <w:rPr>
                          <w:lang w:eastAsia="ja-JP"/>
                        </w:rPr>
                        <w:t xml:space="preserve"> knees</w:t>
                      </w:r>
                      <w:r>
                        <w:rPr>
                          <w:lang w:eastAsia="ja-JP"/>
                        </w:rPr>
                        <w:t xml:space="preserve"> (38.5%)</w:t>
                      </w:r>
                      <w:r w:rsidRPr="008B6C5E">
                        <w:rPr>
                          <w:lang w:eastAsia="ja-JP"/>
                        </w:rPr>
                        <w:t xml:space="preserve"> at the final follow-up. The</w:t>
                      </w:r>
                      <w:r w:rsidR="009413B3">
                        <w:rPr>
                          <w:lang w:eastAsia="ja-JP"/>
                        </w:rPr>
                        <w:t xml:space="preserve"> s</w:t>
                      </w:r>
                      <w:r>
                        <w:rPr>
                          <w:lang w:eastAsia="ja-JP"/>
                        </w:rPr>
                        <w:t xml:space="preserve">ignificant improvements were oberseved after the surgery in </w:t>
                      </w:r>
                      <w:r w:rsidRPr="008B6C5E">
                        <w:rPr>
                          <w:lang w:eastAsia="ja-JP"/>
                        </w:rPr>
                        <w:t>patellar tilt</w:t>
                      </w:r>
                      <w:r>
                        <w:rPr>
                          <w:lang w:eastAsia="ja-JP"/>
                        </w:rPr>
                        <w:t xml:space="preserve"> (17.9</w:t>
                      </w:r>
                      <w:r w:rsidRPr="008B6C5E">
                        <w:rPr>
                          <w:lang w:eastAsia="ja-JP"/>
                        </w:rPr>
                        <w:t>°</w:t>
                      </w:r>
                      <w:r>
                        <w:rPr>
                          <w:lang w:eastAsia="ja-JP"/>
                        </w:rPr>
                        <w:t xml:space="preserve"> to 14.6</w:t>
                      </w:r>
                      <w:bookmarkStart w:id="3" w:name="OLE_LINK12"/>
                      <w:bookmarkStart w:id="4" w:name="OLE_LINK13"/>
                      <w:r w:rsidRPr="008B6C5E">
                        <w:rPr>
                          <w:lang w:eastAsia="ja-JP"/>
                        </w:rPr>
                        <w:t>°</w:t>
                      </w:r>
                      <w:bookmarkEnd w:id="3"/>
                      <w:bookmarkEnd w:id="4"/>
                      <w:r>
                        <w:rPr>
                          <w:lang w:eastAsia="ja-JP"/>
                        </w:rPr>
                        <w:t>)</w:t>
                      </w:r>
                      <w:r w:rsidRPr="008B6C5E">
                        <w:rPr>
                          <w:lang w:eastAsia="ja-JP"/>
                        </w:rPr>
                        <w:t xml:space="preserve"> and the congruence angle </w:t>
                      </w:r>
                      <w:r>
                        <w:rPr>
                          <w:lang w:eastAsia="ja-JP"/>
                        </w:rPr>
                        <w:t>(15.0</w:t>
                      </w:r>
                      <w:r w:rsidRPr="008B6C5E">
                        <w:rPr>
                          <w:lang w:eastAsia="ja-JP"/>
                        </w:rPr>
                        <w:t>°</w:t>
                      </w:r>
                      <w:r>
                        <w:rPr>
                          <w:lang w:eastAsia="ja-JP"/>
                        </w:rPr>
                        <w:t xml:space="preserve"> to 1.9</w:t>
                      </w:r>
                      <w:r w:rsidRPr="008B6C5E">
                        <w:rPr>
                          <w:lang w:eastAsia="ja-JP"/>
                        </w:rPr>
                        <w:t>°</w:t>
                      </w:r>
                      <w:r>
                        <w:rPr>
                          <w:lang w:eastAsia="ja-JP"/>
                        </w:rPr>
                        <w:t xml:space="preserve">) </w:t>
                      </w:r>
                      <w:r>
                        <w:rPr>
                          <w:lang w:eastAsia="ja-JP"/>
                        </w:rPr>
                        <w:t>compared to the pre-operation</w:t>
                      </w:r>
                      <w:r>
                        <w:rPr>
                          <w:lang w:eastAsia="ja-JP"/>
                        </w:rPr>
                        <w:t xml:space="preserve"> (p &lt; 0.05)</w:t>
                      </w:r>
                      <w:r w:rsidRPr="008B6C5E">
                        <w:rPr>
                          <w:lang w:eastAsia="ja-JP"/>
                        </w:rPr>
                        <w:t>.</w:t>
                      </w:r>
                      <w:r w:rsidRPr="008B6C5E">
                        <w:t xml:space="preserve"> </w:t>
                      </w:r>
                    </w:p>
                    <w:p w:rsidR="008B6C5E" w:rsidRDefault="008B6C5E">
                      <w:pPr>
                        <w:rPr>
                          <w:rFonts w:hint="eastAsia"/>
                          <w:lang w:eastAsia="ja-JP"/>
                        </w:rPr>
                      </w:pPr>
                      <w:r w:rsidRPr="008B6C5E">
                        <w:rPr>
                          <w:b/>
                          <w:lang w:eastAsia="ja-JP"/>
                        </w:rPr>
                        <w:t>Conclusions:</w:t>
                      </w:r>
                      <w:r w:rsidRPr="008B6C5E">
                        <w:rPr>
                          <w:lang w:eastAsia="ja-JP"/>
                        </w:rPr>
                        <w:t xml:space="preserve"> MPFL reconstruction using suture anchors could be a choice of treatment in skeletally immature patients with recurrent patellar dislocation.</w:t>
                      </w:r>
                      <w:bookmarkStart w:id="5" w:name="_GoBack"/>
                      <w:bookmarkEnd w:id="5"/>
                    </w:p>
                  </w:txbxContent>
                </v:textbox>
              </v:rect>
            </w:pict>
          </mc:Fallback>
        </mc:AlternateContent>
      </w:r>
    </w:p>
    <w:p w:rsidR="00E8070E" w:rsidRDefault="00E8070E">
      <w:pPr>
        <w:spacing w:line="360" w:lineRule="auto"/>
        <w:rPr>
          <w:rFonts w:ascii="Tahoma" w:hAnsi="Tahoma"/>
          <w:color w:val="000000"/>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pPr>
        <w:spacing w:line="360" w:lineRule="auto"/>
        <w:rPr>
          <w:rFonts w:ascii="Tahoma" w:hAnsi="Tahoma"/>
          <w:b/>
          <w:i/>
          <w:lang w:val="en-GB"/>
        </w:rPr>
      </w:pPr>
    </w:p>
    <w:p w:rsidR="00E8070E" w:rsidRDefault="00E8070E" w:rsidP="00AA5D8A">
      <w:pPr>
        <w:rPr>
          <w:color w:val="000000"/>
          <w:lang w:val="en-GB"/>
        </w:rPr>
      </w:pPr>
    </w:p>
    <w:p w:rsidR="00E8070E" w:rsidRDefault="00E8070E">
      <w:pPr>
        <w:jc w:val="center"/>
        <w:rPr>
          <w:rFonts w:ascii="Tahoma" w:hAnsi="Tahoma"/>
          <w:b/>
          <w:color w:val="000000"/>
          <w:sz w:val="28"/>
          <w:lang w:val="en-GB"/>
        </w:rPr>
      </w:pPr>
      <w:r>
        <w:rPr>
          <w:lang w:val="en-GB"/>
        </w:rPr>
        <w:br w:type="page"/>
      </w:r>
      <w:r>
        <w:rPr>
          <w:rFonts w:ascii="Tahoma" w:hAnsi="Tahoma"/>
          <w:b/>
          <w:color w:val="000000"/>
          <w:sz w:val="28"/>
          <w:lang w:val="en-GB"/>
        </w:rPr>
        <w:lastRenderedPageBreak/>
        <w:t>Guidelines for submission of Abstract</w:t>
      </w:r>
    </w:p>
    <w:p w:rsidR="00E8070E" w:rsidRDefault="00E8070E">
      <w:pPr>
        <w:jc w:val="center"/>
        <w:rPr>
          <w:rFonts w:ascii="Tahoma" w:hAnsi="Tahoma"/>
          <w:b/>
          <w:color w:val="000000"/>
          <w:sz w:val="28"/>
          <w:lang w:val="en-GB"/>
        </w:rPr>
      </w:pPr>
    </w:p>
    <w:p w:rsidR="00E8070E" w:rsidRDefault="00E8070E">
      <w:pPr>
        <w:pStyle w:val="4"/>
      </w:pPr>
      <w:r>
        <w:t>INFORMATION FOR AUTHORS AND GUIDELINES FOR PRESENTATION</w:t>
      </w:r>
    </w:p>
    <w:p w:rsidR="00E8070E" w:rsidRDefault="00E8070E">
      <w:pPr>
        <w:rPr>
          <w:lang w:val="en-GB"/>
        </w:rPr>
      </w:pPr>
    </w:p>
    <w:p w:rsidR="00E8070E" w:rsidRDefault="00D95CC6">
      <w:pPr>
        <w:numPr>
          <w:ilvl w:val="0"/>
          <w:numId w:val="2"/>
        </w:numPr>
        <w:rPr>
          <w:rFonts w:ascii="Tahoma" w:hAnsi="Tahoma"/>
          <w:color w:val="000000"/>
          <w:lang w:val="en-GB"/>
        </w:rPr>
      </w:pPr>
      <w:r>
        <w:rPr>
          <w:rFonts w:ascii="Tahoma" w:hAnsi="Tahoma"/>
          <w:b/>
          <w:color w:val="000000"/>
          <w:lang w:val="en-GB"/>
        </w:rPr>
        <w:t>Final abstracts</w:t>
      </w:r>
      <w:r w:rsidR="00E8070E" w:rsidRPr="006C1EB8">
        <w:rPr>
          <w:rFonts w:ascii="Tahoma" w:hAnsi="Tahoma"/>
          <w:b/>
          <w:color w:val="000000"/>
          <w:lang w:val="en-GB"/>
        </w:rPr>
        <w:t xml:space="preserve"> must be submitted on th</w:t>
      </w:r>
      <w:r>
        <w:rPr>
          <w:rFonts w:ascii="Tahoma" w:hAnsi="Tahoma"/>
          <w:b/>
          <w:color w:val="000000"/>
          <w:lang w:val="en-GB"/>
        </w:rPr>
        <w:t>is</w:t>
      </w:r>
      <w:r w:rsidR="00E8070E" w:rsidRPr="006C1EB8">
        <w:rPr>
          <w:rFonts w:ascii="Tahoma" w:hAnsi="Tahoma"/>
          <w:b/>
          <w:color w:val="000000"/>
          <w:lang w:val="en-GB"/>
        </w:rPr>
        <w:t xml:space="preserve"> original official abstract form and written in   English</w:t>
      </w:r>
      <w:r w:rsidR="00B87FAA" w:rsidRPr="006C1EB8">
        <w:rPr>
          <w:rFonts w:ascii="Tahoma" w:hAnsi="Tahoma"/>
          <w:b/>
          <w:color w:val="000000"/>
          <w:lang w:val="en-GB"/>
        </w:rPr>
        <w:t xml:space="preserve">.  Deadline </w:t>
      </w:r>
      <w:r w:rsidR="00427421">
        <w:rPr>
          <w:rFonts w:ascii="Tahoma" w:hAnsi="Tahoma"/>
          <w:b/>
          <w:color w:val="000000"/>
          <w:lang w:val="en-GB"/>
        </w:rPr>
        <w:t>April 15</w:t>
      </w:r>
      <w:r>
        <w:rPr>
          <w:rFonts w:ascii="Tahoma" w:hAnsi="Tahoma"/>
          <w:b/>
          <w:color w:val="000000"/>
          <w:lang w:val="en-GB"/>
        </w:rPr>
        <w:t>, 20</w:t>
      </w:r>
      <w:r w:rsidR="004F599E">
        <w:rPr>
          <w:rFonts w:ascii="Tahoma" w:hAnsi="Tahoma"/>
          <w:b/>
          <w:color w:val="000000"/>
          <w:lang w:val="en-GB"/>
        </w:rPr>
        <w:t>22</w:t>
      </w:r>
      <w:r w:rsidR="00B87FAA">
        <w:rPr>
          <w:rFonts w:ascii="Tahoma" w:hAnsi="Tahoma"/>
          <w:color w:val="000000"/>
          <w:lang w:val="en-GB"/>
        </w:rPr>
        <w:t>.</w:t>
      </w:r>
    </w:p>
    <w:p w:rsidR="00E8070E" w:rsidRDefault="00E8070E">
      <w:pPr>
        <w:numPr>
          <w:ilvl w:val="0"/>
          <w:numId w:val="2"/>
        </w:numPr>
        <w:rPr>
          <w:rFonts w:ascii="Tahoma" w:hAnsi="Tahoma"/>
          <w:color w:val="000000"/>
          <w:lang w:val="en-GB"/>
        </w:rPr>
      </w:pPr>
      <w:r>
        <w:rPr>
          <w:rFonts w:ascii="Tahoma" w:hAnsi="Tahoma"/>
          <w:color w:val="000000"/>
          <w:lang w:val="en-GB"/>
        </w:rPr>
        <w:t xml:space="preserve">Authors will be informed of the committee’s decision by </w:t>
      </w:r>
      <w:r w:rsidR="00D95CC6">
        <w:rPr>
          <w:rFonts w:ascii="Tahoma" w:hAnsi="Tahoma"/>
          <w:color w:val="000000"/>
          <w:lang w:val="en-GB"/>
        </w:rPr>
        <w:t>May 15,</w:t>
      </w:r>
      <w:r w:rsidR="00B87FAA">
        <w:rPr>
          <w:rFonts w:ascii="Tahoma" w:hAnsi="Tahoma"/>
          <w:color w:val="000000"/>
          <w:lang w:val="en-GB"/>
        </w:rPr>
        <w:t xml:space="preserve"> 20</w:t>
      </w:r>
      <w:r w:rsidR="004F599E">
        <w:rPr>
          <w:rFonts w:ascii="Tahoma" w:hAnsi="Tahoma"/>
          <w:color w:val="000000"/>
          <w:lang w:val="en-GB"/>
        </w:rPr>
        <w:t>22</w:t>
      </w:r>
    </w:p>
    <w:p w:rsidR="00E8070E" w:rsidRDefault="00E8070E">
      <w:pPr>
        <w:numPr>
          <w:ilvl w:val="0"/>
          <w:numId w:val="2"/>
        </w:numPr>
        <w:rPr>
          <w:rFonts w:ascii="Tahoma" w:hAnsi="Tahoma"/>
          <w:color w:val="000000"/>
          <w:lang w:val="en-GB"/>
        </w:rPr>
      </w:pPr>
      <w:r>
        <w:rPr>
          <w:rFonts w:ascii="Tahoma" w:hAnsi="Tahoma"/>
          <w:color w:val="000000"/>
          <w:lang w:val="en-GB"/>
        </w:rPr>
        <w:t>Abbreviations are allowed but must be clearly defined</w:t>
      </w:r>
    </w:p>
    <w:p w:rsidR="00E8070E" w:rsidRDefault="00E8070E">
      <w:pPr>
        <w:numPr>
          <w:ilvl w:val="0"/>
          <w:numId w:val="2"/>
        </w:numPr>
        <w:rPr>
          <w:rFonts w:ascii="Tahoma" w:hAnsi="Tahoma"/>
          <w:color w:val="000000"/>
          <w:lang w:val="en-GB"/>
        </w:rPr>
      </w:pPr>
      <w:r>
        <w:rPr>
          <w:rFonts w:ascii="Tahoma" w:hAnsi="Tahoma"/>
          <w:color w:val="000000"/>
          <w:lang w:val="en-GB"/>
        </w:rPr>
        <w:t>The entire abstract text, including title, author(s) and institution should be contained within the respective rectangular spaces</w:t>
      </w:r>
    </w:p>
    <w:p w:rsidR="00AA5D8A" w:rsidRDefault="00AA5D8A" w:rsidP="00AA5D8A">
      <w:pPr>
        <w:numPr>
          <w:ilvl w:val="0"/>
          <w:numId w:val="2"/>
        </w:numPr>
        <w:rPr>
          <w:rFonts w:ascii="Tahoma" w:hAnsi="Tahoma"/>
          <w:color w:val="000000"/>
          <w:lang w:val="en-GB"/>
        </w:rPr>
      </w:pPr>
      <w:r>
        <w:rPr>
          <w:rFonts w:ascii="Tahoma" w:hAnsi="Tahoma"/>
          <w:color w:val="000000"/>
          <w:lang w:val="en-GB"/>
        </w:rPr>
        <w:t>Capitaliz</w:t>
      </w:r>
      <w:r w:rsidR="00E8070E">
        <w:rPr>
          <w:rFonts w:ascii="Tahoma" w:hAnsi="Tahoma"/>
          <w:color w:val="000000"/>
          <w:lang w:val="en-GB"/>
        </w:rPr>
        <w:t>e the entire TITLE</w:t>
      </w:r>
    </w:p>
    <w:p w:rsidR="00D95CC6" w:rsidRDefault="00D95CC6" w:rsidP="00AA5D8A">
      <w:pPr>
        <w:numPr>
          <w:ilvl w:val="0"/>
          <w:numId w:val="2"/>
        </w:numPr>
        <w:rPr>
          <w:rFonts w:ascii="Tahoma" w:hAnsi="Tahoma"/>
          <w:color w:val="000000"/>
          <w:lang w:val="en-GB"/>
        </w:rPr>
      </w:pPr>
      <w:r>
        <w:rPr>
          <w:rFonts w:ascii="Tahoma" w:hAnsi="Tahoma"/>
          <w:color w:val="000000"/>
          <w:lang w:val="en-GB"/>
        </w:rPr>
        <w:t>You may submit more than one abstract but generally should only expect at most one accepted for podium presentation.  Other abstracts may be published on our website as has been done previously.</w:t>
      </w:r>
    </w:p>
    <w:p w:rsidR="00D95CC6" w:rsidRDefault="00D95CC6" w:rsidP="00AA5D8A">
      <w:pPr>
        <w:numPr>
          <w:ilvl w:val="0"/>
          <w:numId w:val="2"/>
        </w:numPr>
        <w:rPr>
          <w:rFonts w:ascii="Tahoma" w:hAnsi="Tahoma"/>
          <w:color w:val="000000"/>
          <w:lang w:val="en-GB"/>
        </w:rPr>
      </w:pPr>
      <w:r>
        <w:rPr>
          <w:rFonts w:ascii="Tahoma" w:hAnsi="Tahoma"/>
          <w:color w:val="000000"/>
          <w:lang w:val="en-GB"/>
        </w:rPr>
        <w:t xml:space="preserve">On site presentations will be </w:t>
      </w:r>
      <w:r w:rsidRPr="00427421">
        <w:rPr>
          <w:rFonts w:ascii="Tahoma" w:hAnsi="Tahoma"/>
          <w:b/>
          <w:bCs w:val="0"/>
          <w:color w:val="000000"/>
          <w:u w:val="single"/>
          <w:lang w:val="en-GB"/>
        </w:rPr>
        <w:t>STRICTLY LIMITED TO 5 MINUTES PER PAPER</w:t>
      </w:r>
      <w:r>
        <w:rPr>
          <w:rFonts w:ascii="Tahoma" w:hAnsi="Tahoma"/>
          <w:color w:val="000000"/>
          <w:lang w:val="en-GB"/>
        </w:rPr>
        <w:t>.</w:t>
      </w:r>
    </w:p>
    <w:p w:rsidR="006A7D0D" w:rsidRPr="006A7D0D" w:rsidRDefault="006A7D0D" w:rsidP="006A7D0D">
      <w:pPr>
        <w:ind w:left="340"/>
        <w:rPr>
          <w:rFonts w:ascii="Tahoma" w:hAnsi="Tahoma"/>
          <w:color w:val="000000"/>
          <w:lang w:val="en-GB"/>
        </w:rPr>
      </w:pPr>
    </w:p>
    <w:p w:rsidR="00E8070E" w:rsidRPr="00AA5D8A" w:rsidRDefault="00AA5D8A">
      <w:pPr>
        <w:rPr>
          <w:rFonts w:ascii="Tahoma" w:hAnsi="Tahoma"/>
          <w:color w:val="000000"/>
          <w:lang w:val="en-GB"/>
        </w:rPr>
      </w:pPr>
      <w:r w:rsidRPr="00AA5D8A">
        <w:rPr>
          <w:rFonts w:ascii="Tahoma" w:hAnsi="Tahoma"/>
          <w:color w:val="000000"/>
          <w:lang w:val="en-GB"/>
        </w:rPr>
        <w:t xml:space="preserve">Return the abstract form by email to </w:t>
      </w:r>
      <w:hyperlink r:id="rId5" w:history="1">
        <w:r w:rsidRPr="00AA5D8A">
          <w:rPr>
            <w:rStyle w:val="a4"/>
            <w:rFonts w:ascii="Tahoma" w:hAnsi="Tahoma"/>
            <w:lang w:val="en-GB"/>
          </w:rPr>
          <w:t>wpost@wvortho.com</w:t>
        </w:r>
      </w:hyperlink>
      <w:r w:rsidRPr="00AA5D8A">
        <w:rPr>
          <w:rFonts w:ascii="Tahoma" w:hAnsi="Tahoma"/>
          <w:color w:val="000000"/>
          <w:lang w:val="en-GB"/>
        </w:rPr>
        <w:t xml:space="preserve"> and it will be distributed to the program committee for review.</w:t>
      </w:r>
    </w:p>
    <w:p w:rsidR="00E8070E" w:rsidRPr="00AA5D8A" w:rsidRDefault="00E8070E">
      <w:pPr>
        <w:rPr>
          <w:rFonts w:ascii="Tahoma" w:hAnsi="Tahoma"/>
          <w:color w:val="000000"/>
          <w:lang w:val="en-GB"/>
        </w:rPr>
      </w:pPr>
    </w:p>
    <w:p w:rsidR="00E8070E" w:rsidRDefault="00E8070E">
      <w:pPr>
        <w:jc w:val="center"/>
        <w:rPr>
          <w:rFonts w:ascii="Tahoma" w:hAnsi="Tahoma"/>
          <w:b/>
          <w:color w:val="000000"/>
          <w:sz w:val="20"/>
          <w:lang w:val="en-GB"/>
        </w:rPr>
      </w:pPr>
    </w:p>
    <w:sectPr w:rsidR="00E807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B262F"/>
    <w:multiLevelType w:val="hybridMultilevel"/>
    <w:tmpl w:val="31EA2C0A"/>
    <w:lvl w:ilvl="0" w:tplc="FFFFFFFF">
      <w:start w:val="1"/>
      <w:numFmt w:val="bullet"/>
      <w:lvlText w:val=""/>
      <w:lvlJc w:val="left"/>
      <w:pPr>
        <w:tabs>
          <w:tab w:val="num" w:pos="360"/>
        </w:tabs>
        <w:ind w:left="340"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C234D"/>
    <w:multiLevelType w:val="hybridMultilevel"/>
    <w:tmpl w:val="0ACA5294"/>
    <w:lvl w:ilvl="0" w:tplc="FFFFFFFF">
      <w:start w:val="1"/>
      <w:numFmt w:val="bullet"/>
      <w:lvlText w:val=""/>
      <w:lvlJc w:val="left"/>
      <w:pPr>
        <w:tabs>
          <w:tab w:val="num" w:pos="360"/>
        </w:tabs>
        <w:ind w:left="340"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39"/>
    <w:rsid w:val="003F1339"/>
    <w:rsid w:val="00427421"/>
    <w:rsid w:val="004F599E"/>
    <w:rsid w:val="006A7D0D"/>
    <w:rsid w:val="006C1EB8"/>
    <w:rsid w:val="008B6C5E"/>
    <w:rsid w:val="009413B3"/>
    <w:rsid w:val="00AA5D8A"/>
    <w:rsid w:val="00B0219D"/>
    <w:rsid w:val="00B87FAA"/>
    <w:rsid w:val="00D95456"/>
    <w:rsid w:val="00D95CC6"/>
    <w:rsid w:val="00E8070E"/>
    <w:rsid w:val="00F9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D6D90D"/>
  <w15:chartTrackingRefBased/>
  <w15:docId w15:val="{18C34840-94DC-4D33-B260-37C4C86F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bCs/>
      <w:sz w:val="24"/>
      <w:szCs w:val="24"/>
      <w:lang w:val="it-IT" w:eastAsia="it-IT"/>
    </w:rPr>
  </w:style>
  <w:style w:type="paragraph" w:styleId="2">
    <w:name w:val="heading 2"/>
    <w:basedOn w:val="a"/>
    <w:next w:val="a"/>
    <w:qFormat/>
    <w:pPr>
      <w:keepNext/>
      <w:spacing w:line="360" w:lineRule="auto"/>
      <w:outlineLvl w:val="1"/>
    </w:pPr>
    <w:rPr>
      <w:rFonts w:ascii="Tahoma" w:hAnsi="Tahoma" w:cs="Tahoma"/>
      <w:b/>
      <w:i/>
      <w:iCs/>
      <w:sz w:val="28"/>
      <w:lang w:val="en-GB"/>
    </w:rPr>
  </w:style>
  <w:style w:type="paragraph" w:styleId="3">
    <w:name w:val="heading 3"/>
    <w:basedOn w:val="a"/>
    <w:next w:val="a"/>
    <w:qFormat/>
    <w:pPr>
      <w:keepNext/>
      <w:spacing w:line="360" w:lineRule="auto"/>
      <w:outlineLvl w:val="2"/>
    </w:pPr>
    <w:rPr>
      <w:rFonts w:ascii="Tahoma" w:hAnsi="Tahoma" w:cs="Tahoma"/>
      <w:b/>
      <w:color w:val="000000"/>
      <w:lang w:val="en-GB"/>
    </w:rPr>
  </w:style>
  <w:style w:type="paragraph" w:styleId="4">
    <w:name w:val="heading 4"/>
    <w:basedOn w:val="a"/>
    <w:next w:val="a"/>
    <w:qFormat/>
    <w:pPr>
      <w:keepNext/>
      <w:jc w:val="center"/>
      <w:outlineLvl w:val="3"/>
    </w:pPr>
    <w:rPr>
      <w:rFonts w:ascii="Tahoma" w:hAnsi="Tahoma" w:cs="Tahoma"/>
      <w:b/>
      <w:color w:val="000000"/>
      <w:lang w:val="en-GB"/>
    </w:rPr>
  </w:style>
  <w:style w:type="paragraph" w:styleId="5">
    <w:name w:val="heading 5"/>
    <w:basedOn w:val="a"/>
    <w:next w:val="a"/>
    <w:qFormat/>
    <w:pPr>
      <w:keepNext/>
      <w:jc w:val="center"/>
      <w:outlineLvl w:val="4"/>
    </w:pPr>
    <w:rPr>
      <w:rFonts w:ascii="Tahoma" w:hAnsi="Tahoma" w:cs="Tahoma"/>
      <w:b/>
      <w:sz w:val="32"/>
      <w:lang w:val="en-GB"/>
    </w:rPr>
  </w:style>
  <w:style w:type="paragraph" w:styleId="6">
    <w:name w:val="heading 6"/>
    <w:basedOn w:val="a"/>
    <w:next w:val="a"/>
    <w:qFormat/>
    <w:pPr>
      <w:keepNext/>
      <w:jc w:val="center"/>
      <w:outlineLvl w:val="5"/>
    </w:pPr>
    <w:rPr>
      <w:rFonts w:ascii="Tahoma" w:hAnsi="Tahoma" w:cs="Tahoma"/>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F1339"/>
    <w:rPr>
      <w:rFonts w:ascii="Tahoma" w:hAnsi="Tahoma" w:cs="Tahoma"/>
      <w:sz w:val="16"/>
      <w:szCs w:val="16"/>
    </w:rPr>
  </w:style>
  <w:style w:type="character" w:styleId="a4">
    <w:name w:val="Hyperlink"/>
    <w:rsid w:val="00AA5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7081">
      <w:bodyDiv w:val="1"/>
      <w:marLeft w:val="0"/>
      <w:marRight w:val="0"/>
      <w:marTop w:val="0"/>
      <w:marBottom w:val="0"/>
      <w:divBdr>
        <w:top w:val="none" w:sz="0" w:space="0" w:color="auto"/>
        <w:left w:val="none" w:sz="0" w:space="0" w:color="auto"/>
        <w:bottom w:val="none" w:sz="0" w:space="0" w:color="auto"/>
        <w:right w:val="none" w:sz="0" w:space="0" w:color="auto"/>
      </w:divBdr>
    </w:div>
    <w:div w:id="577708915">
      <w:bodyDiv w:val="1"/>
      <w:marLeft w:val="0"/>
      <w:marRight w:val="0"/>
      <w:marTop w:val="0"/>
      <w:marBottom w:val="0"/>
      <w:divBdr>
        <w:top w:val="none" w:sz="0" w:space="0" w:color="auto"/>
        <w:left w:val="none" w:sz="0" w:space="0" w:color="auto"/>
        <w:bottom w:val="none" w:sz="0" w:space="0" w:color="auto"/>
        <w:right w:val="none" w:sz="0" w:space="0" w:color="auto"/>
      </w:divBdr>
    </w:div>
    <w:div w:id="1241981226">
      <w:bodyDiv w:val="1"/>
      <w:marLeft w:val="0"/>
      <w:marRight w:val="0"/>
      <w:marTop w:val="0"/>
      <w:marBottom w:val="0"/>
      <w:divBdr>
        <w:top w:val="none" w:sz="0" w:space="0" w:color="auto"/>
        <w:left w:val="none" w:sz="0" w:space="0" w:color="auto"/>
        <w:bottom w:val="none" w:sz="0" w:space="0" w:color="auto"/>
        <w:right w:val="none" w:sz="0" w:space="0" w:color="auto"/>
      </w:divBdr>
    </w:div>
    <w:div w:id="1770471489">
      <w:bodyDiv w:val="1"/>
      <w:marLeft w:val="0"/>
      <w:marRight w:val="0"/>
      <w:marTop w:val="0"/>
      <w:marBottom w:val="0"/>
      <w:divBdr>
        <w:top w:val="none" w:sz="0" w:space="0" w:color="auto"/>
        <w:left w:val="none" w:sz="0" w:space="0" w:color="auto"/>
        <w:bottom w:val="none" w:sz="0" w:space="0" w:color="auto"/>
        <w:right w:val="none" w:sz="0" w:space="0" w:color="auto"/>
      </w:divBdr>
    </w:div>
    <w:div w:id="1916628703">
      <w:bodyDiv w:val="1"/>
      <w:marLeft w:val="0"/>
      <w:marRight w:val="0"/>
      <w:marTop w:val="0"/>
      <w:marBottom w:val="0"/>
      <w:divBdr>
        <w:top w:val="none" w:sz="0" w:space="0" w:color="auto"/>
        <w:left w:val="none" w:sz="0" w:space="0" w:color="auto"/>
        <w:bottom w:val="none" w:sz="0" w:space="0" w:color="auto"/>
        <w:right w:val="none" w:sz="0" w:space="0" w:color="auto"/>
      </w:divBdr>
    </w:div>
    <w:div w:id="1999383683">
      <w:bodyDiv w:val="1"/>
      <w:marLeft w:val="0"/>
      <w:marRight w:val="0"/>
      <w:marTop w:val="0"/>
      <w:marBottom w:val="0"/>
      <w:divBdr>
        <w:top w:val="none" w:sz="0" w:space="0" w:color="auto"/>
        <w:left w:val="none" w:sz="0" w:space="0" w:color="auto"/>
        <w:bottom w:val="none" w:sz="0" w:space="0" w:color="auto"/>
        <w:right w:val="none" w:sz="0" w:space="0" w:color="auto"/>
      </w:divBdr>
    </w:div>
    <w:div w:id="20478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post@wvorth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2</Pages>
  <Words>171</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VII International Meeting of the</vt:lpstr>
      <vt:lpstr>VII International Meeting of the</vt:lpstr>
    </vt:vector>
  </TitlesOfParts>
  <Company>Microsoft</Company>
  <LinksUpToDate>false</LinksUpToDate>
  <CharactersWithSpaces>1220</CharactersWithSpaces>
  <SharedDoc>false</SharedDoc>
  <HLinks>
    <vt:vector size="6" baseType="variant">
      <vt:variant>
        <vt:i4>196644</vt:i4>
      </vt:variant>
      <vt:variant>
        <vt:i4>0</vt:i4>
      </vt:variant>
      <vt:variant>
        <vt:i4>0</vt:i4>
      </vt:variant>
      <vt:variant>
        <vt:i4>5</vt:i4>
      </vt:variant>
      <vt:variant>
        <vt:lpwstr>mailto:wpost@wvortho.com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International Meeting of the</dc:title>
  <dc:subject/>
  <dc:creator>*</dc:creator>
  <cp:keywords/>
  <cp:lastModifiedBy>Kanto Nagai</cp:lastModifiedBy>
  <cp:revision>7</cp:revision>
  <cp:lastPrinted>2002-04-04T23:04:00Z</cp:lastPrinted>
  <dcterms:created xsi:type="dcterms:W3CDTF">2022-04-13T12:16:00Z</dcterms:created>
  <dcterms:modified xsi:type="dcterms:W3CDTF">2022-04-13T23:49:00Z</dcterms:modified>
</cp:coreProperties>
</file>