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018" w:rsidRDefault="00770018" w:rsidP="00770018">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color w:val="000000"/>
          <w:sz w:val="28"/>
          <w:szCs w:val="28"/>
          <w:lang w:val="en-GB"/>
        </w:rPr>
        <w:t>ABSTRACT FORM</w:t>
      </w:r>
      <w:r>
        <w:rPr>
          <w:rStyle w:val="eop"/>
          <w:rFonts w:ascii="Tahoma" w:hAnsi="Tahoma" w:cs="Tahoma"/>
          <w:color w:val="000000"/>
          <w:sz w:val="28"/>
          <w:szCs w:val="28"/>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i/>
          <w:iCs/>
          <w:color w:val="0000FF"/>
          <w:sz w:val="28"/>
          <w:szCs w:val="28"/>
          <w:lang w:val="en-GB"/>
        </w:rPr>
        <w:t>Meeting of the International </w:t>
      </w:r>
      <w:r>
        <w:rPr>
          <w:rStyle w:val="normaltextrun"/>
          <w:lang w:val="en-GB"/>
        </w:rPr>
        <w:t xml:space="preserve">              </w:t>
      </w:r>
      <w:r>
        <w:rPr>
          <w:rStyle w:val="eop"/>
        </w:rPr>
        <w:t> </w:t>
      </w:r>
    </w:p>
    <w:p w:rsidR="00770018" w:rsidRDefault="00770018" w:rsidP="00770018">
      <w:pPr>
        <w:pStyle w:val="paragraph"/>
        <w:spacing w:before="0" w:beforeAutospacing="0" w:after="0" w:afterAutospacing="0"/>
        <w:jc w:val="both"/>
        <w:textAlignment w:val="baseline"/>
        <w:rPr>
          <w:rFonts w:ascii="Segoe UI" w:hAnsi="Segoe UI" w:cs="Segoe UI"/>
          <w:b/>
          <w:bCs/>
          <w:i/>
          <w:iCs/>
          <w:sz w:val="18"/>
          <w:szCs w:val="18"/>
        </w:rPr>
      </w:pPr>
      <w:r>
        <w:rPr>
          <w:rStyle w:val="normaltextrun"/>
          <w:rFonts w:ascii="Tahoma" w:hAnsi="Tahoma" w:cs="Tahoma"/>
          <w:b/>
          <w:bCs/>
          <w:i/>
          <w:iCs/>
          <w:color w:val="0000FF"/>
          <w:sz w:val="28"/>
          <w:szCs w:val="28"/>
          <w:lang w:val="en-GB"/>
        </w:rPr>
        <w:t>Patellofemoral Study Group</w:t>
      </w:r>
      <w:r>
        <w:rPr>
          <w:rStyle w:val="eop"/>
          <w:rFonts w:ascii="Tahoma" w:hAnsi="Tahoma" w:cs="Tahoma"/>
          <w:b/>
          <w:bCs/>
          <w:i/>
          <w:iCs/>
          <w:color w:val="0000FF"/>
          <w:sz w:val="28"/>
          <w:szCs w:val="28"/>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i/>
          <w:iCs/>
          <w:color w:val="000000"/>
          <w:lang w:val="en-GB"/>
        </w:rPr>
        <w:t>Helsinki Finland Aug 3-6. 2022</w:t>
      </w:r>
      <w:r>
        <w:rPr>
          <w:rStyle w:val="eop"/>
          <w:rFonts w:ascii="Tahoma" w:hAnsi="Tahoma" w:cs="Tahoma"/>
          <w:color w:val="000000"/>
        </w:rPr>
        <w:t> </w:t>
      </w:r>
    </w:p>
    <w:p w:rsidR="00770018" w:rsidRDefault="00770018" w:rsidP="00770018">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ind w:firstLine="1410"/>
        <w:jc w:val="both"/>
        <w:textAlignment w:val="baseline"/>
        <w:rPr>
          <w:rFonts w:ascii="Segoe UI" w:hAnsi="Segoe UI" w:cs="Segoe UI"/>
          <w:sz w:val="18"/>
          <w:szCs w:val="18"/>
        </w:rPr>
      </w:pPr>
      <w:r>
        <w:rPr>
          <w:rStyle w:val="normaltextrun"/>
          <w:rFonts w:ascii="Tahoma" w:hAnsi="Tahoma" w:cs="Tahoma"/>
          <w:color w:val="000000"/>
          <w:u w:val="single"/>
          <w:lang w:val="en-GB"/>
        </w:rPr>
        <w:t xml:space="preserve">             </w:t>
      </w:r>
      <w:r>
        <w:rPr>
          <w:rStyle w:val="normaltextrun"/>
          <w:rFonts w:ascii="Tahoma" w:hAnsi="Tahoma" w:cs="Tahoma"/>
          <w:b/>
          <w:bCs/>
          <w:color w:val="000000"/>
          <w:sz w:val="28"/>
          <w:szCs w:val="28"/>
          <w:u w:val="single"/>
          <w:lang w:val="en-GB"/>
        </w:rPr>
        <w:t>DEADLINE: April 15, 2022</w:t>
      </w:r>
      <w:r>
        <w:rPr>
          <w:rStyle w:val="eop"/>
          <w:rFonts w:ascii="Tahoma" w:hAnsi="Tahoma" w:cs="Tahoma"/>
          <w:color w:val="000000"/>
          <w:sz w:val="28"/>
          <w:szCs w:val="28"/>
        </w:rPr>
        <w:t> </w:t>
      </w:r>
    </w:p>
    <w:p w:rsidR="00770018" w:rsidRPr="0024272E" w:rsidRDefault="00770018" w:rsidP="00770018">
      <w:pPr>
        <w:pStyle w:val="paragraph"/>
        <w:spacing w:before="0" w:beforeAutospacing="0" w:after="0" w:afterAutospacing="0"/>
        <w:textAlignment w:val="baseline"/>
        <w:rPr>
          <w:rFonts w:ascii="Tahoma" w:hAnsi="Tahoma" w:cs="Tahoma"/>
          <w:sz w:val="18"/>
          <w:szCs w:val="18"/>
        </w:rPr>
      </w:pPr>
      <w:r w:rsidRPr="0024272E">
        <w:rPr>
          <w:rStyle w:val="normaltextrun"/>
          <w:rFonts w:ascii="Tahoma" w:hAnsi="Tahoma" w:cs="Tahoma"/>
          <w:color w:val="000000"/>
          <w:lang w:val="en-GB"/>
        </w:rPr>
        <w:t>AUTHOR, CO–AUTHORS</w:t>
      </w:r>
      <w:r w:rsidRPr="0024272E">
        <w:rPr>
          <w:rStyle w:val="normaltextrun"/>
          <w:rFonts w:ascii="Tahoma" w:hAnsi="Tahoma" w:cs="Tahoma"/>
          <w:b/>
          <w:bCs/>
          <w:color w:val="000000"/>
          <w:lang w:val="en-GB"/>
        </w:rPr>
        <w:t xml:space="preserve"> </w:t>
      </w:r>
      <w:r w:rsidRPr="0024272E">
        <w:rPr>
          <w:rStyle w:val="normaltextrun"/>
          <w:rFonts w:ascii="Tahoma" w:hAnsi="Tahoma" w:cs="Tahoma"/>
          <w:color w:val="000000"/>
          <w:lang w:val="en-GB"/>
        </w:rPr>
        <w:t>(underline name of presenter)</w:t>
      </w:r>
      <w:r w:rsidR="0024272E" w:rsidRPr="0024272E">
        <w:rPr>
          <w:rStyle w:val="eop"/>
          <w:rFonts w:ascii="Tahoma" w:hAnsi="Tahoma" w:cs="Tahoma"/>
          <w:color w:val="000000"/>
        </w:rPr>
        <w:t xml:space="preserve">: </w:t>
      </w:r>
      <w:r w:rsidR="0024272E" w:rsidRPr="0024272E">
        <w:rPr>
          <w:rStyle w:val="normaltextrun"/>
          <w:rFonts w:ascii="Tahoma" w:hAnsi="Tahoma" w:cs="Tahoma"/>
          <w:color w:val="000000"/>
          <w:sz w:val="22"/>
          <w:szCs w:val="22"/>
          <w:shd w:val="clear" w:color="auto" w:fill="FFFFFF"/>
        </w:rPr>
        <w:t>Nicolas Pascual-Leone,</w:t>
      </w:r>
      <w:r w:rsidR="0024272E" w:rsidRPr="0024272E">
        <w:rPr>
          <w:rStyle w:val="normaltextrun"/>
          <w:rFonts w:ascii="Tahoma" w:hAnsi="Tahoma" w:cs="Tahoma"/>
          <w:color w:val="000000"/>
          <w:sz w:val="22"/>
          <w:szCs w:val="22"/>
          <w:shd w:val="clear" w:color="auto" w:fill="FFFFFF"/>
        </w:rPr>
        <w:t xml:space="preserve"> BA,</w:t>
      </w:r>
      <w:r w:rsidR="0024272E" w:rsidRPr="0024272E">
        <w:rPr>
          <w:rStyle w:val="normaltextrun"/>
          <w:rFonts w:ascii="Tahoma" w:hAnsi="Tahoma" w:cs="Tahoma"/>
          <w:color w:val="000000"/>
          <w:sz w:val="22"/>
          <w:szCs w:val="22"/>
          <w:shd w:val="clear" w:color="auto" w:fill="FFFFFF"/>
        </w:rPr>
        <w:t xml:space="preserve"> Blake C. Meza, </w:t>
      </w:r>
      <w:r w:rsidR="0024272E" w:rsidRPr="0024272E">
        <w:rPr>
          <w:rStyle w:val="normaltextrun"/>
          <w:rFonts w:ascii="Tahoma" w:hAnsi="Tahoma" w:cs="Tahoma"/>
          <w:color w:val="000000"/>
          <w:sz w:val="22"/>
          <w:szCs w:val="22"/>
          <w:shd w:val="clear" w:color="auto" w:fill="FFFFFF"/>
        </w:rPr>
        <w:t xml:space="preserve">MD, </w:t>
      </w:r>
      <w:r w:rsidR="0024272E" w:rsidRPr="0024272E">
        <w:rPr>
          <w:rStyle w:val="normaltextrun"/>
          <w:rFonts w:ascii="Tahoma" w:hAnsi="Tahoma" w:cs="Tahoma"/>
          <w:color w:val="000000"/>
          <w:sz w:val="22"/>
          <w:szCs w:val="22"/>
          <w:shd w:val="clear" w:color="auto" w:fill="FFFFFF"/>
        </w:rPr>
        <w:t>Danielle E. Chipman,</w:t>
      </w:r>
      <w:r w:rsidR="0024272E" w:rsidRPr="0024272E">
        <w:rPr>
          <w:rStyle w:val="normaltextrun"/>
          <w:rFonts w:ascii="Tahoma" w:hAnsi="Tahoma" w:cs="Tahoma"/>
          <w:color w:val="000000"/>
          <w:sz w:val="22"/>
          <w:szCs w:val="22"/>
          <w:shd w:val="clear" w:color="auto" w:fill="FFFFFF"/>
        </w:rPr>
        <w:t xml:space="preserve"> BS,</w:t>
      </w:r>
      <w:r w:rsidR="0024272E" w:rsidRPr="0024272E">
        <w:rPr>
          <w:rStyle w:val="normaltextrun"/>
          <w:rFonts w:ascii="Tahoma" w:hAnsi="Tahoma" w:cs="Tahoma"/>
          <w:color w:val="000000"/>
          <w:sz w:val="22"/>
          <w:szCs w:val="22"/>
          <w:shd w:val="clear" w:color="auto" w:fill="FFFFFF"/>
        </w:rPr>
        <w:t xml:space="preserve"> Peter D. Fabricant,</w:t>
      </w:r>
      <w:r w:rsidR="0024272E" w:rsidRPr="0024272E">
        <w:rPr>
          <w:rStyle w:val="normaltextrun"/>
          <w:rFonts w:ascii="Tahoma" w:hAnsi="Tahoma" w:cs="Tahoma"/>
          <w:color w:val="000000"/>
          <w:sz w:val="22"/>
          <w:szCs w:val="22"/>
          <w:shd w:val="clear" w:color="auto" w:fill="FFFFFF"/>
        </w:rPr>
        <w:t xml:space="preserve"> MD, MPH,</w:t>
      </w:r>
      <w:r w:rsidR="0024272E" w:rsidRPr="0024272E">
        <w:rPr>
          <w:rStyle w:val="normaltextrun"/>
          <w:rFonts w:ascii="Tahoma" w:hAnsi="Tahoma" w:cs="Tahoma"/>
          <w:color w:val="000000"/>
          <w:sz w:val="22"/>
          <w:szCs w:val="22"/>
          <w:shd w:val="clear" w:color="auto" w:fill="FFFFFF"/>
        </w:rPr>
        <w:t xml:space="preserve"> </w:t>
      </w:r>
      <w:r w:rsidR="0024272E" w:rsidRPr="0024272E">
        <w:rPr>
          <w:rStyle w:val="normaltextrun"/>
          <w:rFonts w:ascii="Tahoma" w:hAnsi="Tahoma" w:cs="Tahoma"/>
          <w:color w:val="000000"/>
          <w:sz w:val="22"/>
          <w:szCs w:val="22"/>
          <w:u w:val="single"/>
          <w:shd w:val="clear" w:color="auto" w:fill="FFFFFF"/>
        </w:rPr>
        <w:t>Daniel W. Green</w:t>
      </w:r>
      <w:r w:rsidR="0024272E" w:rsidRPr="0024272E">
        <w:rPr>
          <w:rStyle w:val="normaltextrun"/>
          <w:rFonts w:ascii="Tahoma" w:hAnsi="Tahoma" w:cs="Tahoma"/>
          <w:color w:val="000000"/>
          <w:sz w:val="22"/>
          <w:szCs w:val="22"/>
          <w:u w:val="single"/>
          <w:shd w:val="clear" w:color="auto" w:fill="FFFFFF"/>
        </w:rPr>
        <w:t>, MD, FACS</w:t>
      </w:r>
      <w:r w:rsidR="0024272E" w:rsidRPr="0024272E">
        <w:rPr>
          <w:rStyle w:val="eop"/>
          <w:rFonts w:ascii="Tahoma" w:hAnsi="Tahoma" w:cs="Tahoma"/>
          <w:color w:val="000000"/>
          <w:sz w:val="22"/>
          <w:szCs w:val="22"/>
          <w:shd w:val="clear" w:color="auto" w:fill="FFFFFF"/>
        </w:rPr>
        <w:t> </w:t>
      </w:r>
    </w:p>
    <w:p w:rsidR="00770018" w:rsidRPr="0024272E" w:rsidRDefault="00770018" w:rsidP="00770018">
      <w:pPr>
        <w:pStyle w:val="paragraph"/>
        <w:spacing w:before="0" w:beforeAutospacing="0" w:after="0" w:afterAutospacing="0"/>
        <w:textAlignment w:val="baseline"/>
        <w:rPr>
          <w:rFonts w:ascii="Tahoma" w:hAnsi="Tahoma" w:cs="Tahoma"/>
          <w:sz w:val="18"/>
          <w:szCs w:val="18"/>
        </w:rPr>
      </w:pPr>
      <w:r w:rsidRPr="0024272E">
        <w:rPr>
          <w:rStyle w:val="eop"/>
          <w:rFonts w:ascii="Tahoma" w:hAnsi="Tahoma" w:cs="Tahoma"/>
          <w:color w:val="000000"/>
        </w:rPr>
        <w:t> </w:t>
      </w:r>
    </w:p>
    <w:p w:rsidR="00770018" w:rsidRPr="0024272E" w:rsidRDefault="00770018" w:rsidP="00770018">
      <w:pPr>
        <w:pStyle w:val="paragraph"/>
        <w:spacing w:before="0" w:beforeAutospacing="0" w:after="0" w:afterAutospacing="0"/>
        <w:textAlignment w:val="baseline"/>
        <w:rPr>
          <w:rFonts w:ascii="Tahoma" w:hAnsi="Tahoma" w:cs="Tahoma"/>
          <w:sz w:val="18"/>
          <w:szCs w:val="18"/>
        </w:rPr>
      </w:pPr>
      <w:r w:rsidRPr="0024272E">
        <w:rPr>
          <w:rStyle w:val="normaltextrun"/>
          <w:rFonts w:ascii="Tahoma" w:hAnsi="Tahoma" w:cs="Tahoma"/>
          <w:color w:val="000000"/>
          <w:lang w:val="en-GB"/>
        </w:rPr>
        <w:t>INSTITUTION</w:t>
      </w:r>
      <w:r w:rsidR="0024272E" w:rsidRPr="0024272E">
        <w:rPr>
          <w:rStyle w:val="eop"/>
          <w:rFonts w:ascii="Tahoma" w:hAnsi="Tahoma" w:cs="Tahoma"/>
          <w:color w:val="000000"/>
        </w:rPr>
        <w:t xml:space="preserve">: Hospital </w:t>
      </w:r>
      <w:proofErr w:type="gramStart"/>
      <w:r w:rsidR="0024272E" w:rsidRPr="0024272E">
        <w:rPr>
          <w:rStyle w:val="eop"/>
          <w:rFonts w:ascii="Tahoma" w:hAnsi="Tahoma" w:cs="Tahoma"/>
          <w:color w:val="000000"/>
        </w:rPr>
        <w:t>For</w:t>
      </w:r>
      <w:proofErr w:type="gramEnd"/>
      <w:r w:rsidR="0024272E" w:rsidRPr="0024272E">
        <w:rPr>
          <w:rStyle w:val="eop"/>
          <w:rFonts w:ascii="Tahoma" w:hAnsi="Tahoma" w:cs="Tahoma"/>
          <w:color w:val="000000"/>
        </w:rPr>
        <w:t xml:space="preserve"> Special Surgery</w:t>
      </w:r>
    </w:p>
    <w:p w:rsidR="00770018" w:rsidRPr="0024272E" w:rsidRDefault="00770018" w:rsidP="00770018">
      <w:pPr>
        <w:pStyle w:val="paragraph"/>
        <w:spacing w:before="0" w:beforeAutospacing="0" w:after="0" w:afterAutospacing="0"/>
        <w:textAlignment w:val="baseline"/>
        <w:rPr>
          <w:rFonts w:ascii="Tahoma" w:hAnsi="Tahoma" w:cs="Tahoma"/>
          <w:sz w:val="18"/>
          <w:szCs w:val="18"/>
        </w:rPr>
      </w:pPr>
      <w:r w:rsidRPr="0024272E">
        <w:rPr>
          <w:rStyle w:val="eop"/>
          <w:rFonts w:ascii="Tahoma" w:hAnsi="Tahoma" w:cs="Tahoma"/>
          <w:color w:val="000000"/>
        </w:rPr>
        <w:t> </w:t>
      </w:r>
    </w:p>
    <w:p w:rsidR="00770018" w:rsidRPr="0024272E" w:rsidRDefault="00770018" w:rsidP="00770018">
      <w:pPr>
        <w:pStyle w:val="paragraph"/>
        <w:spacing w:before="0" w:beforeAutospacing="0" w:after="0" w:afterAutospacing="0"/>
        <w:textAlignment w:val="baseline"/>
        <w:rPr>
          <w:rFonts w:ascii="Tahoma" w:hAnsi="Tahoma" w:cs="Tahoma"/>
          <w:sz w:val="18"/>
          <w:szCs w:val="18"/>
        </w:rPr>
      </w:pPr>
      <w:r w:rsidRPr="0024272E">
        <w:rPr>
          <w:rStyle w:val="normaltextrun"/>
          <w:rFonts w:ascii="Tahoma" w:hAnsi="Tahoma" w:cs="Tahoma"/>
          <w:color w:val="000000"/>
          <w:lang w:val="en-GB"/>
        </w:rPr>
        <w:t>TITLE OF ABSTRACT</w:t>
      </w:r>
      <w:r w:rsidR="0024272E" w:rsidRPr="0024272E">
        <w:rPr>
          <w:rStyle w:val="eop"/>
          <w:rFonts w:ascii="Tahoma" w:hAnsi="Tahoma" w:cs="Tahoma"/>
          <w:color w:val="000000"/>
        </w:rPr>
        <w:t xml:space="preserve">: </w:t>
      </w:r>
      <w:r w:rsidR="0040740A">
        <w:rPr>
          <w:rStyle w:val="eop"/>
          <w:rFonts w:ascii="Tahoma" w:hAnsi="Tahoma" w:cs="Tahoma"/>
          <w:color w:val="000000"/>
        </w:rPr>
        <w:t>GREATER IMPROVEMENT IN PATELLAR TILT IN PATIENTS UNDERGOING MPFL RECONSTRUCTION WITH AMO VERSUS MPFL RECONSTRUCTION ALONG: A COHORT STUDY</w:t>
      </w:r>
      <w:bookmarkStart w:id="0" w:name="_GoBack"/>
      <w:bookmarkEnd w:id="0"/>
      <w:r w:rsidRPr="0024272E">
        <w:rPr>
          <w:rStyle w:val="eop"/>
          <w:rFonts w:ascii="Tahoma" w:hAnsi="Tahoma" w:cs="Tahoma"/>
          <w:color w:val="000000"/>
        </w:rPr>
        <w:t> </w:t>
      </w:r>
    </w:p>
    <w:p w:rsidR="00770018" w:rsidRDefault="0024272E" w:rsidP="00770018">
      <w:pPr>
        <w:pStyle w:val="paragraph"/>
        <w:spacing w:before="0" w:beforeAutospacing="0" w:after="0" w:afterAutospacing="0"/>
        <w:textAlignment w:val="baseline"/>
        <w:rPr>
          <w:rFonts w:ascii="Segoe UI" w:hAnsi="Segoe UI" w:cs="Segoe UI"/>
          <w:sz w:val="18"/>
          <w:szCs w:val="18"/>
        </w:rPr>
      </w:pPr>
      <w:r w:rsidRPr="0024272E">
        <w:rPr>
          <w:rStyle w:val="normaltextrun"/>
          <w:rFonts w:ascii="Tahoma" w:hAnsi="Tahoma" w:cs="Tahoma"/>
          <w:noProof/>
          <w:color w:val="000000"/>
          <w:u w:val="single"/>
          <w:lang w:val="en-GB"/>
        </w:rPr>
        <mc:AlternateContent>
          <mc:Choice Requires="wps">
            <w:drawing>
              <wp:anchor distT="45720" distB="45720" distL="114300" distR="114300" simplePos="0" relativeHeight="251660288" behindDoc="0" locked="0" layoutInCell="1" allowOverlap="1">
                <wp:simplePos x="0" y="0"/>
                <wp:positionH relativeFrom="column">
                  <wp:posOffset>-171450</wp:posOffset>
                </wp:positionH>
                <wp:positionV relativeFrom="paragraph">
                  <wp:posOffset>240664</wp:posOffset>
                </wp:positionV>
                <wp:extent cx="6048375" cy="5743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743575"/>
                        </a:xfrm>
                        <a:prstGeom prst="rect">
                          <a:avLst/>
                        </a:prstGeom>
                        <a:noFill/>
                        <a:ln w="9525">
                          <a:noFill/>
                          <a:miter lim="800000"/>
                          <a:headEnd/>
                          <a:tailEnd/>
                        </a:ln>
                      </wps:spPr>
                      <wps:txbx>
                        <w:txbxContent>
                          <w:p w:rsidR="0024272E" w:rsidRDefault="0024272E" w:rsidP="0024272E">
                            <w:pPr>
                              <w:spacing w:after="0" w:line="240" w:lineRule="auto"/>
                              <w:textAlignment w:val="baseline"/>
                              <w:rPr>
                                <w:rFonts w:ascii="Calibri" w:eastAsia="Times New Roman" w:hAnsi="Calibri" w:cs="Calibri"/>
                              </w:rPr>
                            </w:pPr>
                            <w:r w:rsidRPr="0024272E">
                              <w:rPr>
                                <w:rFonts w:ascii="Calibri" w:eastAsia="Times New Roman" w:hAnsi="Calibri" w:cs="Calibri"/>
                                <w:b/>
                                <w:bCs/>
                              </w:rPr>
                              <w:t xml:space="preserve">Background: </w:t>
                            </w:r>
                            <w:r w:rsidRPr="0024272E">
                              <w:rPr>
                                <w:rFonts w:ascii="Calibri" w:eastAsia="Times New Roman" w:hAnsi="Calibri" w:cs="Calibri"/>
                              </w:rPr>
                              <w:t>Understanding how surgical procedures influence risk factors associated with patellar instability can help guide surgeons when planning treatments for individual patients. This study sought to understand the radiographic outcomes for pediatric patients undergoing medial patellofemoral ligament reconstruction (MPFLR) with or without an antero-medializing osteotomy of the tibial tubercle (AMO). The authors hypothesized that the tibial-tuberosity to trochlear groove (TT-TG) distance would only decrease in those undergoing MPFLR with AMO (MPFLR+AMO), while patellar tilt (tilt) would decrease in all patients.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Default="0024272E" w:rsidP="0024272E">
                            <w:pPr>
                              <w:spacing w:after="0" w:line="240" w:lineRule="auto"/>
                              <w:textAlignment w:val="baseline"/>
                              <w:rPr>
                                <w:rFonts w:ascii="Calibri" w:eastAsia="Times New Roman" w:hAnsi="Calibri" w:cs="Calibri"/>
                              </w:rPr>
                            </w:pPr>
                            <w:r w:rsidRPr="0024272E">
                              <w:rPr>
                                <w:rFonts w:ascii="Calibri" w:eastAsia="Times New Roman" w:hAnsi="Calibri" w:cs="Calibri"/>
                                <w:b/>
                                <w:bCs/>
                              </w:rPr>
                              <w:t xml:space="preserve">Methods: </w:t>
                            </w:r>
                            <w:r w:rsidRPr="0024272E">
                              <w:rPr>
                                <w:rFonts w:ascii="Calibri" w:eastAsia="Times New Roman" w:hAnsi="Calibri" w:cs="Calibri"/>
                              </w:rPr>
                              <w:t xml:space="preserve">All patients who underwent MPFLR+AMO by one of two senior orthopedic surgeons at a single institution were identified. Patients with a history of previous ipsilateral knee surgery, obligate or fixed patellar dislocations, cerebral palsy, Down syndrome, nail patella syndrome, or Rubenstein </w:t>
                            </w:r>
                            <w:proofErr w:type="spellStart"/>
                            <w:r w:rsidRPr="0024272E">
                              <w:rPr>
                                <w:rFonts w:ascii="Calibri" w:eastAsia="Times New Roman" w:hAnsi="Calibri" w:cs="Calibri"/>
                              </w:rPr>
                              <w:t>Taybi</w:t>
                            </w:r>
                            <w:proofErr w:type="spellEnd"/>
                            <w:r w:rsidRPr="0024272E">
                              <w:rPr>
                                <w:rFonts w:ascii="Calibri" w:eastAsia="Times New Roman" w:hAnsi="Calibri" w:cs="Calibri"/>
                              </w:rPr>
                              <w:t xml:space="preserve"> syndrome, and no pre-operative MRI were excluded. Pre-operative and </w:t>
                            </w:r>
                            <w:r w:rsidR="000A4A25">
                              <w:rPr>
                                <w:rFonts w:ascii="Calibri" w:eastAsia="Times New Roman" w:hAnsi="Calibri" w:cs="Calibri"/>
                              </w:rPr>
                              <w:t>p</w:t>
                            </w:r>
                            <w:r w:rsidRPr="0024272E">
                              <w:rPr>
                                <w:rFonts w:ascii="Calibri" w:eastAsia="Times New Roman" w:hAnsi="Calibri" w:cs="Calibri"/>
                              </w:rPr>
                              <w:t xml:space="preserve">ost-operative MRIs were used to measure TT-TG, while radiographs were used to measure tilt. Patients were matched based on age at surgery (within 2 years) and </w:t>
                            </w:r>
                            <w:r w:rsidR="000A4A25">
                              <w:rPr>
                                <w:rFonts w:ascii="Calibri" w:eastAsia="Times New Roman" w:hAnsi="Calibri" w:cs="Calibri"/>
                              </w:rPr>
                              <w:t>p</w:t>
                            </w:r>
                            <w:r w:rsidRPr="0024272E">
                              <w:rPr>
                                <w:rFonts w:ascii="Calibri" w:eastAsia="Times New Roman" w:hAnsi="Calibri" w:cs="Calibri"/>
                              </w:rPr>
                              <w:t>re-operative TT-TG distance (within 2 mm) to a comparison cohort of patients who underwent MPFLR without osseous procedures (</w:t>
                            </w:r>
                            <w:proofErr w:type="spellStart"/>
                            <w:r w:rsidRPr="0024272E">
                              <w:rPr>
                                <w:rFonts w:ascii="Calibri" w:eastAsia="Times New Roman" w:hAnsi="Calibri" w:cs="Calibri"/>
                              </w:rPr>
                              <w:t>iMPFLR</w:t>
                            </w:r>
                            <w:proofErr w:type="spellEnd"/>
                            <w:r w:rsidRPr="0024272E">
                              <w:rPr>
                                <w:rFonts w:ascii="Calibri" w:eastAsia="Times New Roman" w:hAnsi="Calibri" w:cs="Calibri"/>
                              </w:rPr>
                              <w:t>).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Default="0024272E" w:rsidP="0024272E">
                            <w:pPr>
                              <w:spacing w:after="0" w:line="240" w:lineRule="auto"/>
                              <w:textAlignment w:val="baseline"/>
                              <w:rPr>
                                <w:rFonts w:ascii="Calibri" w:eastAsia="Times New Roman" w:hAnsi="Calibri" w:cs="Calibri"/>
                                <w:color w:val="000000"/>
                              </w:rPr>
                            </w:pPr>
                            <w:r w:rsidRPr="0024272E">
                              <w:rPr>
                                <w:rFonts w:ascii="Calibri" w:eastAsia="Times New Roman" w:hAnsi="Calibri" w:cs="Calibri"/>
                                <w:b/>
                                <w:bCs/>
                              </w:rPr>
                              <w:t xml:space="preserve">Results: </w:t>
                            </w:r>
                            <w:r w:rsidRPr="0024272E">
                              <w:rPr>
                                <w:rFonts w:ascii="Calibri" w:eastAsia="Times New Roman" w:hAnsi="Calibri" w:cs="Calibri"/>
                              </w:rPr>
                              <w:t>A total of</w:t>
                            </w:r>
                            <w:r w:rsidRPr="0024272E">
                              <w:rPr>
                                <w:rFonts w:ascii="Calibri" w:eastAsia="Times New Roman" w:hAnsi="Calibri" w:cs="Calibri"/>
                                <w:b/>
                                <w:bCs/>
                              </w:rPr>
                              <w:t xml:space="preserve"> </w:t>
                            </w:r>
                            <w:r w:rsidRPr="0024272E">
                              <w:rPr>
                                <w:rFonts w:ascii="Calibri" w:eastAsia="Times New Roman" w:hAnsi="Calibri" w:cs="Calibri"/>
                              </w:rPr>
                              <w:t>56 patients were included in this study (28 per group). The mean age of the cohort was 15.5</w:t>
                            </w:r>
                            <w:r w:rsidRPr="0024272E">
                              <w:rPr>
                                <w:rFonts w:ascii="Calibri" w:eastAsia="Times New Roman" w:hAnsi="Calibri" w:cs="Calibri"/>
                                <w:color w:val="000000"/>
                              </w:rPr>
                              <w:t>±2.0 years and was similar between both groups (15.9 vs. 15.1 years, p=0.143).</w:t>
                            </w:r>
                            <w:r w:rsidRPr="0024272E">
                              <w:rPr>
                                <w:rFonts w:ascii="Calibri" w:eastAsia="Times New Roman" w:hAnsi="Calibri" w:cs="Calibri"/>
                              </w:rPr>
                              <w:t xml:space="preserve"> </w:t>
                            </w:r>
                            <w:r w:rsidRPr="0024272E">
                              <w:rPr>
                                <w:rFonts w:ascii="Calibri" w:eastAsia="Times New Roman" w:hAnsi="Calibri" w:cs="Calibri"/>
                                <w:color w:val="000000"/>
                              </w:rPr>
                              <w:t xml:space="preserve">When comparing the two cohorts, </w:t>
                            </w:r>
                            <w:r w:rsidRPr="0024272E">
                              <w:rPr>
                                <w:rFonts w:ascii="Calibri" w:eastAsia="Times New Roman" w:hAnsi="Calibri" w:cs="Calibri"/>
                              </w:rPr>
                              <w:t xml:space="preserve">TT-TG decreased by 8.1 mm for MPFLR+AMO and 1.2 mm for </w:t>
                            </w:r>
                            <w:proofErr w:type="spellStart"/>
                            <w:r w:rsidRPr="0024272E">
                              <w:rPr>
                                <w:rFonts w:ascii="Calibri" w:eastAsia="Times New Roman" w:hAnsi="Calibri" w:cs="Calibri"/>
                              </w:rPr>
                              <w:t>iMPFLR</w:t>
                            </w:r>
                            <w:proofErr w:type="spellEnd"/>
                            <w:r w:rsidRPr="0024272E">
                              <w:rPr>
                                <w:rFonts w:ascii="Calibri" w:eastAsia="Times New Roman" w:hAnsi="Calibri" w:cs="Calibri"/>
                              </w:rPr>
                              <w:t xml:space="preserve"> (p&lt;0.001). Pre-operative versus </w:t>
                            </w:r>
                            <w:r w:rsidR="000A4A25">
                              <w:rPr>
                                <w:rFonts w:ascii="Calibri" w:eastAsia="Times New Roman" w:hAnsi="Calibri" w:cs="Calibri"/>
                              </w:rPr>
                              <w:t>p</w:t>
                            </w:r>
                            <w:r w:rsidRPr="0024272E">
                              <w:rPr>
                                <w:rFonts w:ascii="Calibri" w:eastAsia="Times New Roman" w:hAnsi="Calibri" w:cs="Calibri"/>
                              </w:rPr>
                              <w:t xml:space="preserve">ost-operative comparisons demonstrated significant changes significant changes in tilt for both MPFLR+AMO (p&lt;0.001) and </w:t>
                            </w:r>
                            <w:proofErr w:type="spellStart"/>
                            <w:r w:rsidRPr="0024272E">
                              <w:rPr>
                                <w:rFonts w:ascii="Calibri" w:eastAsia="Times New Roman" w:hAnsi="Calibri" w:cs="Calibri"/>
                              </w:rPr>
                              <w:t>iMPFLR</w:t>
                            </w:r>
                            <w:proofErr w:type="spellEnd"/>
                            <w:r w:rsidRPr="0024272E">
                              <w:rPr>
                                <w:rFonts w:ascii="Calibri" w:eastAsia="Times New Roman" w:hAnsi="Calibri" w:cs="Calibri"/>
                              </w:rPr>
                              <w:t xml:space="preserve"> (p=0.013). Post-operative tilt was </w:t>
                            </w:r>
                            <w:r w:rsidRPr="0024272E">
                              <w:rPr>
                                <w:rFonts w:ascii="Calibri" w:eastAsia="Times New Roman" w:hAnsi="Calibri" w:cs="Calibri"/>
                                <w:color w:val="000000"/>
                              </w:rPr>
                              <w:t>13.2 ± 5.5° for MPFLR+AMO and 16.5 ± 4.4° for IMPFLR (p=0.017).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Pr="0024272E" w:rsidRDefault="0024272E" w:rsidP="0024272E">
                            <w:pPr>
                              <w:spacing w:after="0" w:line="240" w:lineRule="auto"/>
                              <w:textAlignment w:val="baseline"/>
                              <w:rPr>
                                <w:rFonts w:ascii="Segoe UI" w:eastAsia="Times New Roman" w:hAnsi="Segoe UI" w:cs="Segoe UI"/>
                                <w:sz w:val="18"/>
                                <w:szCs w:val="18"/>
                              </w:rPr>
                            </w:pPr>
                            <w:r w:rsidRPr="0024272E">
                              <w:rPr>
                                <w:rFonts w:ascii="Calibri" w:eastAsia="Times New Roman" w:hAnsi="Calibri" w:cs="Calibri"/>
                                <w:b/>
                                <w:bCs/>
                              </w:rPr>
                              <w:t xml:space="preserve">Conclusion: </w:t>
                            </w:r>
                            <w:r w:rsidRPr="0024272E">
                              <w:rPr>
                                <w:rFonts w:ascii="Calibri" w:eastAsia="Times New Roman" w:hAnsi="Calibri" w:cs="Calibri"/>
                              </w:rPr>
                              <w:t xml:space="preserve">In age and </w:t>
                            </w:r>
                            <w:r w:rsidR="000A4A25">
                              <w:rPr>
                                <w:rFonts w:ascii="Calibri" w:eastAsia="Times New Roman" w:hAnsi="Calibri" w:cs="Calibri"/>
                              </w:rPr>
                              <w:t>p</w:t>
                            </w:r>
                            <w:r w:rsidRPr="0024272E">
                              <w:rPr>
                                <w:rFonts w:ascii="Calibri" w:eastAsia="Times New Roman" w:hAnsi="Calibri" w:cs="Calibri"/>
                              </w:rPr>
                              <w:t xml:space="preserve">re-operative TT-TG matched participants, </w:t>
                            </w:r>
                            <w:r w:rsidRPr="0024272E">
                              <w:rPr>
                                <w:rFonts w:ascii="Calibri" w:eastAsia="Times New Roman" w:hAnsi="Calibri" w:cs="Calibri"/>
                                <w:color w:val="000000"/>
                              </w:rPr>
                              <w:t xml:space="preserve">TT-TG and tilt was noted to significantly decrease in patients undergoing MPFLR with AMO, while MPFLR alone only resulted in a significant correction in tilt. Furthermore, post-operative tilt was noted to be 3.3° lower following MPFLR with AMO than MPFLR alone. These findings suggest that surgeons seeking to correct </w:t>
                            </w:r>
                            <w:r>
                              <w:rPr>
                                <w:rFonts w:ascii="Calibri" w:eastAsia="Times New Roman" w:hAnsi="Calibri" w:cs="Calibri"/>
                                <w:color w:val="000000"/>
                              </w:rPr>
                              <w:t>patellar</w:t>
                            </w:r>
                            <w:r w:rsidRPr="0024272E">
                              <w:rPr>
                                <w:rFonts w:ascii="Calibri" w:eastAsia="Times New Roman" w:hAnsi="Calibri" w:cs="Calibri"/>
                                <w:color w:val="000000"/>
                              </w:rPr>
                              <w:t xml:space="preserve"> tilt in patients with patellar instability</w:t>
                            </w:r>
                            <w:r>
                              <w:rPr>
                                <w:rFonts w:ascii="Calibri" w:eastAsia="Times New Roman" w:hAnsi="Calibri" w:cs="Calibri"/>
                                <w:color w:val="000000"/>
                              </w:rPr>
                              <w:t xml:space="preserve"> and an elevated TT-TG</w:t>
                            </w:r>
                            <w:r w:rsidRPr="0024272E">
                              <w:rPr>
                                <w:rFonts w:ascii="Calibri" w:eastAsia="Times New Roman" w:hAnsi="Calibri" w:cs="Calibri"/>
                                <w:color w:val="000000"/>
                              </w:rPr>
                              <w:t xml:space="preserve"> may seek to perform MPFLR with AMO. Future studies should aim to analyze additional outcomes and patient reported measures to determine the success of these procedures.  </w:t>
                            </w:r>
                          </w:p>
                          <w:p w:rsidR="0024272E" w:rsidRPr="0024272E" w:rsidRDefault="0024272E" w:rsidP="0024272E">
                            <w:pPr>
                              <w:spacing w:after="0" w:line="240" w:lineRule="auto"/>
                              <w:textAlignment w:val="baseline"/>
                              <w:rPr>
                                <w:rFonts w:ascii="Segoe UI" w:eastAsia="Times New Roman" w:hAnsi="Segoe UI" w:cs="Segoe UI"/>
                                <w:sz w:val="18"/>
                                <w:szCs w:val="18"/>
                              </w:rPr>
                            </w:pPr>
                            <w:r w:rsidRPr="0024272E">
                              <w:rPr>
                                <w:rFonts w:ascii="Calibri" w:eastAsia="Times New Roman" w:hAnsi="Calibri" w:cs="Calibri"/>
                              </w:rPr>
                              <w:t> </w:t>
                            </w:r>
                          </w:p>
                          <w:p w:rsidR="0024272E" w:rsidRDefault="00242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8.95pt;width:476.25pt;height:45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" filled="f" stroked="f">
                <v:textbox>
                  <w:txbxContent>
                    <w:p w:rsidR="0024272E" w:rsidRDefault="0024272E" w:rsidP="0024272E">
                      <w:pPr>
                        <w:spacing w:after="0" w:line="240" w:lineRule="auto"/>
                        <w:textAlignment w:val="baseline"/>
                        <w:rPr>
                          <w:rFonts w:ascii="Calibri" w:eastAsia="Times New Roman" w:hAnsi="Calibri" w:cs="Calibri"/>
                        </w:rPr>
                      </w:pPr>
                      <w:r w:rsidRPr="0024272E">
                        <w:rPr>
                          <w:rFonts w:ascii="Calibri" w:eastAsia="Times New Roman" w:hAnsi="Calibri" w:cs="Calibri"/>
                          <w:b/>
                          <w:bCs/>
                        </w:rPr>
                        <w:t xml:space="preserve">Background: </w:t>
                      </w:r>
                      <w:r w:rsidRPr="0024272E">
                        <w:rPr>
                          <w:rFonts w:ascii="Calibri" w:eastAsia="Times New Roman" w:hAnsi="Calibri" w:cs="Calibri"/>
                        </w:rPr>
                        <w:t>Understanding how surgical procedures influence risk factors associated with patellar instability can help guide surgeons when planning treatments for individual patients. This study sought to understand the radiographic outcomes for pediatric patients undergoing medial patellofemoral ligament reconstruction (MPFLR) with or without an antero-medializing osteotomy of the tibial tubercle (AMO). The authors hypothesized that the tibial-tuberosity to trochlear groove (TT-TG) distance would only decrease in those undergoing MPFLR with AMO (MPFLR+AMO), while patellar tilt (tilt) would decrease in all patients.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Default="0024272E" w:rsidP="0024272E">
                      <w:pPr>
                        <w:spacing w:after="0" w:line="240" w:lineRule="auto"/>
                        <w:textAlignment w:val="baseline"/>
                        <w:rPr>
                          <w:rFonts w:ascii="Calibri" w:eastAsia="Times New Roman" w:hAnsi="Calibri" w:cs="Calibri"/>
                        </w:rPr>
                      </w:pPr>
                      <w:r w:rsidRPr="0024272E">
                        <w:rPr>
                          <w:rFonts w:ascii="Calibri" w:eastAsia="Times New Roman" w:hAnsi="Calibri" w:cs="Calibri"/>
                          <w:b/>
                          <w:bCs/>
                        </w:rPr>
                        <w:t xml:space="preserve">Methods: </w:t>
                      </w:r>
                      <w:r w:rsidRPr="0024272E">
                        <w:rPr>
                          <w:rFonts w:ascii="Calibri" w:eastAsia="Times New Roman" w:hAnsi="Calibri" w:cs="Calibri"/>
                        </w:rPr>
                        <w:t xml:space="preserve">All patients who underwent MPFLR+AMO by one of two senior orthopedic surgeons at a single institution were identified. Patients with a history of previous ipsilateral knee surgery, obligate or fixed patellar dislocations, cerebral palsy, Down syndrome, nail patella syndrome, or Rubenstein </w:t>
                      </w:r>
                      <w:proofErr w:type="spellStart"/>
                      <w:r w:rsidRPr="0024272E">
                        <w:rPr>
                          <w:rFonts w:ascii="Calibri" w:eastAsia="Times New Roman" w:hAnsi="Calibri" w:cs="Calibri"/>
                        </w:rPr>
                        <w:t>Taybi</w:t>
                      </w:r>
                      <w:proofErr w:type="spellEnd"/>
                      <w:r w:rsidRPr="0024272E">
                        <w:rPr>
                          <w:rFonts w:ascii="Calibri" w:eastAsia="Times New Roman" w:hAnsi="Calibri" w:cs="Calibri"/>
                        </w:rPr>
                        <w:t xml:space="preserve"> syndrome, and no pre-operative MRI were excluded. Pre-operative and </w:t>
                      </w:r>
                      <w:r w:rsidR="000A4A25">
                        <w:rPr>
                          <w:rFonts w:ascii="Calibri" w:eastAsia="Times New Roman" w:hAnsi="Calibri" w:cs="Calibri"/>
                        </w:rPr>
                        <w:t>p</w:t>
                      </w:r>
                      <w:r w:rsidRPr="0024272E">
                        <w:rPr>
                          <w:rFonts w:ascii="Calibri" w:eastAsia="Times New Roman" w:hAnsi="Calibri" w:cs="Calibri"/>
                        </w:rPr>
                        <w:t xml:space="preserve">ost-operative MRIs were used to measure TT-TG, while radiographs were used to measure tilt. Patients were matched based on age at surgery (within 2 years) and </w:t>
                      </w:r>
                      <w:r w:rsidR="000A4A25">
                        <w:rPr>
                          <w:rFonts w:ascii="Calibri" w:eastAsia="Times New Roman" w:hAnsi="Calibri" w:cs="Calibri"/>
                        </w:rPr>
                        <w:t>p</w:t>
                      </w:r>
                      <w:r w:rsidRPr="0024272E">
                        <w:rPr>
                          <w:rFonts w:ascii="Calibri" w:eastAsia="Times New Roman" w:hAnsi="Calibri" w:cs="Calibri"/>
                        </w:rPr>
                        <w:t>re-operative TT-TG distance (within 2 mm) to a comparison cohort of patients who underwent MPFLR without osseous procedures (</w:t>
                      </w:r>
                      <w:proofErr w:type="spellStart"/>
                      <w:r w:rsidRPr="0024272E">
                        <w:rPr>
                          <w:rFonts w:ascii="Calibri" w:eastAsia="Times New Roman" w:hAnsi="Calibri" w:cs="Calibri"/>
                        </w:rPr>
                        <w:t>iMPFLR</w:t>
                      </w:r>
                      <w:proofErr w:type="spellEnd"/>
                      <w:r w:rsidRPr="0024272E">
                        <w:rPr>
                          <w:rFonts w:ascii="Calibri" w:eastAsia="Times New Roman" w:hAnsi="Calibri" w:cs="Calibri"/>
                        </w:rPr>
                        <w:t>).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Default="0024272E" w:rsidP="0024272E">
                      <w:pPr>
                        <w:spacing w:after="0" w:line="240" w:lineRule="auto"/>
                        <w:textAlignment w:val="baseline"/>
                        <w:rPr>
                          <w:rFonts w:ascii="Calibri" w:eastAsia="Times New Roman" w:hAnsi="Calibri" w:cs="Calibri"/>
                          <w:color w:val="000000"/>
                        </w:rPr>
                      </w:pPr>
                      <w:r w:rsidRPr="0024272E">
                        <w:rPr>
                          <w:rFonts w:ascii="Calibri" w:eastAsia="Times New Roman" w:hAnsi="Calibri" w:cs="Calibri"/>
                          <w:b/>
                          <w:bCs/>
                        </w:rPr>
                        <w:t xml:space="preserve">Results: </w:t>
                      </w:r>
                      <w:r w:rsidRPr="0024272E">
                        <w:rPr>
                          <w:rFonts w:ascii="Calibri" w:eastAsia="Times New Roman" w:hAnsi="Calibri" w:cs="Calibri"/>
                        </w:rPr>
                        <w:t>A total of</w:t>
                      </w:r>
                      <w:r w:rsidRPr="0024272E">
                        <w:rPr>
                          <w:rFonts w:ascii="Calibri" w:eastAsia="Times New Roman" w:hAnsi="Calibri" w:cs="Calibri"/>
                          <w:b/>
                          <w:bCs/>
                        </w:rPr>
                        <w:t xml:space="preserve"> </w:t>
                      </w:r>
                      <w:r w:rsidRPr="0024272E">
                        <w:rPr>
                          <w:rFonts w:ascii="Calibri" w:eastAsia="Times New Roman" w:hAnsi="Calibri" w:cs="Calibri"/>
                        </w:rPr>
                        <w:t>56 patients were included in this study (28 per group). The mean age of the cohort was 15.5</w:t>
                      </w:r>
                      <w:r w:rsidRPr="0024272E">
                        <w:rPr>
                          <w:rFonts w:ascii="Calibri" w:eastAsia="Times New Roman" w:hAnsi="Calibri" w:cs="Calibri"/>
                          <w:color w:val="000000"/>
                        </w:rPr>
                        <w:t>±2.0 years and was similar between both groups (15.9 vs. 15.1 years, p=0.143).</w:t>
                      </w:r>
                      <w:r w:rsidRPr="0024272E">
                        <w:rPr>
                          <w:rFonts w:ascii="Calibri" w:eastAsia="Times New Roman" w:hAnsi="Calibri" w:cs="Calibri"/>
                        </w:rPr>
                        <w:t xml:space="preserve"> </w:t>
                      </w:r>
                      <w:r w:rsidRPr="0024272E">
                        <w:rPr>
                          <w:rFonts w:ascii="Calibri" w:eastAsia="Times New Roman" w:hAnsi="Calibri" w:cs="Calibri"/>
                          <w:color w:val="000000"/>
                        </w:rPr>
                        <w:t xml:space="preserve">When comparing the two cohorts, </w:t>
                      </w:r>
                      <w:r w:rsidRPr="0024272E">
                        <w:rPr>
                          <w:rFonts w:ascii="Calibri" w:eastAsia="Times New Roman" w:hAnsi="Calibri" w:cs="Calibri"/>
                        </w:rPr>
                        <w:t xml:space="preserve">TT-TG decreased by 8.1 mm for MPFLR+AMO and 1.2 mm for </w:t>
                      </w:r>
                      <w:proofErr w:type="spellStart"/>
                      <w:r w:rsidRPr="0024272E">
                        <w:rPr>
                          <w:rFonts w:ascii="Calibri" w:eastAsia="Times New Roman" w:hAnsi="Calibri" w:cs="Calibri"/>
                        </w:rPr>
                        <w:t>iMPFLR</w:t>
                      </w:r>
                      <w:proofErr w:type="spellEnd"/>
                      <w:r w:rsidRPr="0024272E">
                        <w:rPr>
                          <w:rFonts w:ascii="Calibri" w:eastAsia="Times New Roman" w:hAnsi="Calibri" w:cs="Calibri"/>
                        </w:rPr>
                        <w:t xml:space="preserve"> (p&lt;0.001). Pre-operative versus </w:t>
                      </w:r>
                      <w:r w:rsidR="000A4A25">
                        <w:rPr>
                          <w:rFonts w:ascii="Calibri" w:eastAsia="Times New Roman" w:hAnsi="Calibri" w:cs="Calibri"/>
                        </w:rPr>
                        <w:t>p</w:t>
                      </w:r>
                      <w:r w:rsidRPr="0024272E">
                        <w:rPr>
                          <w:rFonts w:ascii="Calibri" w:eastAsia="Times New Roman" w:hAnsi="Calibri" w:cs="Calibri"/>
                        </w:rPr>
                        <w:t xml:space="preserve">ost-operative comparisons demonstrated significant changes significant changes in tilt for both MPFLR+AMO (p&lt;0.001) and </w:t>
                      </w:r>
                      <w:proofErr w:type="spellStart"/>
                      <w:r w:rsidRPr="0024272E">
                        <w:rPr>
                          <w:rFonts w:ascii="Calibri" w:eastAsia="Times New Roman" w:hAnsi="Calibri" w:cs="Calibri"/>
                        </w:rPr>
                        <w:t>iMPFLR</w:t>
                      </w:r>
                      <w:proofErr w:type="spellEnd"/>
                      <w:r w:rsidRPr="0024272E">
                        <w:rPr>
                          <w:rFonts w:ascii="Calibri" w:eastAsia="Times New Roman" w:hAnsi="Calibri" w:cs="Calibri"/>
                        </w:rPr>
                        <w:t xml:space="preserve"> (p=0.013). Post-operative tilt was </w:t>
                      </w:r>
                      <w:r w:rsidRPr="0024272E">
                        <w:rPr>
                          <w:rFonts w:ascii="Calibri" w:eastAsia="Times New Roman" w:hAnsi="Calibri" w:cs="Calibri"/>
                          <w:color w:val="000000"/>
                        </w:rPr>
                        <w:t>13.2 ± 5.5° for MPFLR+AMO and 16.5 ± 4.4° for IMPFLR (p=0.017). </w:t>
                      </w:r>
                    </w:p>
                    <w:p w:rsidR="0024272E" w:rsidRPr="0024272E" w:rsidRDefault="0024272E" w:rsidP="0024272E">
                      <w:pPr>
                        <w:spacing w:after="0" w:line="240" w:lineRule="auto"/>
                        <w:textAlignment w:val="baseline"/>
                        <w:rPr>
                          <w:rFonts w:ascii="Segoe UI" w:eastAsia="Times New Roman" w:hAnsi="Segoe UI" w:cs="Segoe UI"/>
                          <w:sz w:val="18"/>
                          <w:szCs w:val="18"/>
                        </w:rPr>
                      </w:pPr>
                    </w:p>
                    <w:p w:rsidR="0024272E" w:rsidRPr="0024272E" w:rsidRDefault="0024272E" w:rsidP="0024272E">
                      <w:pPr>
                        <w:spacing w:after="0" w:line="240" w:lineRule="auto"/>
                        <w:textAlignment w:val="baseline"/>
                        <w:rPr>
                          <w:rFonts w:ascii="Segoe UI" w:eastAsia="Times New Roman" w:hAnsi="Segoe UI" w:cs="Segoe UI"/>
                          <w:sz w:val="18"/>
                          <w:szCs w:val="18"/>
                        </w:rPr>
                      </w:pPr>
                      <w:r w:rsidRPr="0024272E">
                        <w:rPr>
                          <w:rFonts w:ascii="Calibri" w:eastAsia="Times New Roman" w:hAnsi="Calibri" w:cs="Calibri"/>
                          <w:b/>
                          <w:bCs/>
                        </w:rPr>
                        <w:t xml:space="preserve">Conclusion: </w:t>
                      </w:r>
                      <w:r w:rsidRPr="0024272E">
                        <w:rPr>
                          <w:rFonts w:ascii="Calibri" w:eastAsia="Times New Roman" w:hAnsi="Calibri" w:cs="Calibri"/>
                        </w:rPr>
                        <w:t xml:space="preserve">In age and </w:t>
                      </w:r>
                      <w:r w:rsidR="000A4A25">
                        <w:rPr>
                          <w:rFonts w:ascii="Calibri" w:eastAsia="Times New Roman" w:hAnsi="Calibri" w:cs="Calibri"/>
                        </w:rPr>
                        <w:t>p</w:t>
                      </w:r>
                      <w:r w:rsidRPr="0024272E">
                        <w:rPr>
                          <w:rFonts w:ascii="Calibri" w:eastAsia="Times New Roman" w:hAnsi="Calibri" w:cs="Calibri"/>
                        </w:rPr>
                        <w:t xml:space="preserve">re-operative TT-TG matched participants, </w:t>
                      </w:r>
                      <w:r w:rsidRPr="0024272E">
                        <w:rPr>
                          <w:rFonts w:ascii="Calibri" w:eastAsia="Times New Roman" w:hAnsi="Calibri" w:cs="Calibri"/>
                          <w:color w:val="000000"/>
                        </w:rPr>
                        <w:t xml:space="preserve">TT-TG and tilt was noted to significantly decrease in patients undergoing MPFLR with AMO, while MPFLR alone only resulted in a significant correction in tilt. Furthermore, post-operative tilt was noted to be 3.3° lower following MPFLR with AMO than MPFLR alone. These findings suggest that surgeons seeking to correct </w:t>
                      </w:r>
                      <w:r>
                        <w:rPr>
                          <w:rFonts w:ascii="Calibri" w:eastAsia="Times New Roman" w:hAnsi="Calibri" w:cs="Calibri"/>
                          <w:color w:val="000000"/>
                        </w:rPr>
                        <w:t>patellar</w:t>
                      </w:r>
                      <w:r w:rsidRPr="0024272E">
                        <w:rPr>
                          <w:rFonts w:ascii="Calibri" w:eastAsia="Times New Roman" w:hAnsi="Calibri" w:cs="Calibri"/>
                          <w:color w:val="000000"/>
                        </w:rPr>
                        <w:t xml:space="preserve"> tilt in patients with patellar instability</w:t>
                      </w:r>
                      <w:r>
                        <w:rPr>
                          <w:rFonts w:ascii="Calibri" w:eastAsia="Times New Roman" w:hAnsi="Calibri" w:cs="Calibri"/>
                          <w:color w:val="000000"/>
                        </w:rPr>
                        <w:t xml:space="preserve"> and an elevated TT-TG</w:t>
                      </w:r>
                      <w:r w:rsidRPr="0024272E">
                        <w:rPr>
                          <w:rFonts w:ascii="Calibri" w:eastAsia="Times New Roman" w:hAnsi="Calibri" w:cs="Calibri"/>
                          <w:color w:val="000000"/>
                        </w:rPr>
                        <w:t xml:space="preserve"> may seek to perform MPFLR with AMO. Future studies should aim to analyze additional outcomes and patient reported measures to determine the success of these procedures.  </w:t>
                      </w:r>
                    </w:p>
                    <w:p w:rsidR="0024272E" w:rsidRPr="0024272E" w:rsidRDefault="0024272E" w:rsidP="0024272E">
                      <w:pPr>
                        <w:spacing w:after="0" w:line="240" w:lineRule="auto"/>
                        <w:textAlignment w:val="baseline"/>
                        <w:rPr>
                          <w:rFonts w:ascii="Segoe UI" w:eastAsia="Times New Roman" w:hAnsi="Segoe UI" w:cs="Segoe UI"/>
                          <w:sz w:val="18"/>
                          <w:szCs w:val="18"/>
                        </w:rPr>
                      </w:pPr>
                      <w:r w:rsidRPr="0024272E">
                        <w:rPr>
                          <w:rFonts w:ascii="Calibri" w:eastAsia="Times New Roman" w:hAnsi="Calibri" w:cs="Calibri"/>
                        </w:rPr>
                        <w:t> </w:t>
                      </w:r>
                    </w:p>
                    <w:p w:rsidR="0024272E" w:rsidRDefault="0024272E"/>
                  </w:txbxContent>
                </v:textbox>
              </v:shape>
            </w:pict>
          </mc:Fallback>
        </mc:AlternateContent>
      </w: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212090</wp:posOffset>
            </wp:positionV>
            <wp:extent cx="6124575" cy="5857875"/>
            <wp:effectExtent l="0" t="0" r="9525" b="9525"/>
            <wp:wrapNone/>
            <wp:docPr id="1" name="Picture 1" descr="C:\Users\pascualleonen\AppData\Local\Microsoft\Windows\INetCache\Content.MSO\EF4E4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ualleonen\AppData\Local\Microsoft\Windows\INetCache\Content.MSO\EF4E4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5857875"/>
                    </a:xfrm>
                    <a:prstGeom prst="rect">
                      <a:avLst/>
                    </a:prstGeom>
                    <a:noFill/>
                    <a:ln>
                      <a:noFill/>
                    </a:ln>
                  </pic:spPr>
                </pic:pic>
              </a:graphicData>
            </a:graphic>
          </wp:anchor>
        </w:drawing>
      </w:r>
      <w:r w:rsidR="00770018">
        <w:rPr>
          <w:rStyle w:val="normaltextrun"/>
          <w:rFonts w:ascii="Tahoma" w:hAnsi="Tahoma" w:cs="Tahoma"/>
          <w:color w:val="000000"/>
          <w:u w:val="single"/>
          <w:lang w:val="en-GB"/>
        </w:rPr>
        <w:t>                   </w:t>
      </w:r>
      <w:r w:rsidR="00770018">
        <w:rPr>
          <w:rStyle w:val="eop"/>
          <w:rFonts w:ascii="Tahoma" w:hAnsi="Tahoma" w:cs="Tahoma"/>
          <w:color w:val="000000"/>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770018" w:rsidRDefault="00770018" w:rsidP="0077001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rsidR="00B17661" w:rsidRDefault="00B17661"/>
    <w:sectPr w:rsidR="00B1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18"/>
    <w:rsid w:val="000A4A25"/>
    <w:rsid w:val="0024272E"/>
    <w:rsid w:val="0040740A"/>
    <w:rsid w:val="004E5B11"/>
    <w:rsid w:val="00770018"/>
    <w:rsid w:val="00B17661"/>
    <w:rsid w:val="00D8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6251"/>
  <w15:chartTrackingRefBased/>
  <w15:docId w15:val="{EF825FEF-69D3-4132-B357-51CDD921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0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0018"/>
  </w:style>
  <w:style w:type="character" w:customStyle="1" w:styleId="eop">
    <w:name w:val="eop"/>
    <w:basedOn w:val="DefaultParagraphFont"/>
    <w:rsid w:val="00770018"/>
  </w:style>
  <w:style w:type="character" w:customStyle="1" w:styleId="spellingerror">
    <w:name w:val="spellingerror"/>
    <w:basedOn w:val="DefaultParagraphFont"/>
    <w:rsid w:val="0024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72001">
      <w:bodyDiv w:val="1"/>
      <w:marLeft w:val="0"/>
      <w:marRight w:val="0"/>
      <w:marTop w:val="0"/>
      <w:marBottom w:val="0"/>
      <w:divBdr>
        <w:top w:val="none" w:sz="0" w:space="0" w:color="auto"/>
        <w:left w:val="none" w:sz="0" w:space="0" w:color="auto"/>
        <w:bottom w:val="none" w:sz="0" w:space="0" w:color="auto"/>
        <w:right w:val="none" w:sz="0" w:space="0" w:color="auto"/>
      </w:divBdr>
      <w:divsChild>
        <w:div w:id="911963940">
          <w:marLeft w:val="0"/>
          <w:marRight w:val="0"/>
          <w:marTop w:val="0"/>
          <w:marBottom w:val="0"/>
          <w:divBdr>
            <w:top w:val="none" w:sz="0" w:space="0" w:color="auto"/>
            <w:left w:val="none" w:sz="0" w:space="0" w:color="auto"/>
            <w:bottom w:val="none" w:sz="0" w:space="0" w:color="auto"/>
            <w:right w:val="none" w:sz="0" w:space="0" w:color="auto"/>
          </w:divBdr>
        </w:div>
        <w:div w:id="1212613619">
          <w:marLeft w:val="0"/>
          <w:marRight w:val="0"/>
          <w:marTop w:val="0"/>
          <w:marBottom w:val="0"/>
          <w:divBdr>
            <w:top w:val="none" w:sz="0" w:space="0" w:color="auto"/>
            <w:left w:val="none" w:sz="0" w:space="0" w:color="auto"/>
            <w:bottom w:val="none" w:sz="0" w:space="0" w:color="auto"/>
            <w:right w:val="none" w:sz="0" w:space="0" w:color="auto"/>
          </w:divBdr>
        </w:div>
        <w:div w:id="59179938">
          <w:marLeft w:val="0"/>
          <w:marRight w:val="0"/>
          <w:marTop w:val="0"/>
          <w:marBottom w:val="0"/>
          <w:divBdr>
            <w:top w:val="none" w:sz="0" w:space="0" w:color="auto"/>
            <w:left w:val="none" w:sz="0" w:space="0" w:color="auto"/>
            <w:bottom w:val="none" w:sz="0" w:space="0" w:color="auto"/>
            <w:right w:val="none" w:sz="0" w:space="0" w:color="auto"/>
          </w:divBdr>
        </w:div>
        <w:div w:id="1911302556">
          <w:marLeft w:val="0"/>
          <w:marRight w:val="0"/>
          <w:marTop w:val="0"/>
          <w:marBottom w:val="0"/>
          <w:divBdr>
            <w:top w:val="none" w:sz="0" w:space="0" w:color="auto"/>
            <w:left w:val="none" w:sz="0" w:space="0" w:color="auto"/>
            <w:bottom w:val="none" w:sz="0" w:space="0" w:color="auto"/>
            <w:right w:val="none" w:sz="0" w:space="0" w:color="auto"/>
          </w:divBdr>
        </w:div>
        <w:div w:id="1609657672">
          <w:marLeft w:val="0"/>
          <w:marRight w:val="0"/>
          <w:marTop w:val="0"/>
          <w:marBottom w:val="0"/>
          <w:divBdr>
            <w:top w:val="none" w:sz="0" w:space="0" w:color="auto"/>
            <w:left w:val="none" w:sz="0" w:space="0" w:color="auto"/>
            <w:bottom w:val="none" w:sz="0" w:space="0" w:color="auto"/>
            <w:right w:val="none" w:sz="0" w:space="0" w:color="auto"/>
          </w:divBdr>
        </w:div>
      </w:divsChild>
    </w:div>
    <w:div w:id="1992519922">
      <w:bodyDiv w:val="1"/>
      <w:marLeft w:val="0"/>
      <w:marRight w:val="0"/>
      <w:marTop w:val="0"/>
      <w:marBottom w:val="0"/>
      <w:divBdr>
        <w:top w:val="none" w:sz="0" w:space="0" w:color="auto"/>
        <w:left w:val="none" w:sz="0" w:space="0" w:color="auto"/>
        <w:bottom w:val="none" w:sz="0" w:space="0" w:color="auto"/>
        <w:right w:val="none" w:sz="0" w:space="0" w:color="auto"/>
      </w:divBdr>
      <w:divsChild>
        <w:div w:id="765539673">
          <w:marLeft w:val="0"/>
          <w:marRight w:val="0"/>
          <w:marTop w:val="0"/>
          <w:marBottom w:val="0"/>
          <w:divBdr>
            <w:top w:val="none" w:sz="0" w:space="0" w:color="auto"/>
            <w:left w:val="none" w:sz="0" w:space="0" w:color="auto"/>
            <w:bottom w:val="none" w:sz="0" w:space="0" w:color="auto"/>
            <w:right w:val="none" w:sz="0" w:space="0" w:color="auto"/>
          </w:divBdr>
        </w:div>
        <w:div w:id="802191522">
          <w:marLeft w:val="0"/>
          <w:marRight w:val="0"/>
          <w:marTop w:val="0"/>
          <w:marBottom w:val="0"/>
          <w:divBdr>
            <w:top w:val="none" w:sz="0" w:space="0" w:color="auto"/>
            <w:left w:val="none" w:sz="0" w:space="0" w:color="auto"/>
            <w:bottom w:val="none" w:sz="0" w:space="0" w:color="auto"/>
            <w:right w:val="none" w:sz="0" w:space="0" w:color="auto"/>
          </w:divBdr>
        </w:div>
        <w:div w:id="88934426">
          <w:marLeft w:val="0"/>
          <w:marRight w:val="0"/>
          <w:marTop w:val="0"/>
          <w:marBottom w:val="0"/>
          <w:divBdr>
            <w:top w:val="none" w:sz="0" w:space="0" w:color="auto"/>
            <w:left w:val="none" w:sz="0" w:space="0" w:color="auto"/>
            <w:bottom w:val="none" w:sz="0" w:space="0" w:color="auto"/>
            <w:right w:val="none" w:sz="0" w:space="0" w:color="auto"/>
          </w:divBdr>
        </w:div>
        <w:div w:id="1412510974">
          <w:marLeft w:val="0"/>
          <w:marRight w:val="0"/>
          <w:marTop w:val="0"/>
          <w:marBottom w:val="0"/>
          <w:divBdr>
            <w:top w:val="none" w:sz="0" w:space="0" w:color="auto"/>
            <w:left w:val="none" w:sz="0" w:space="0" w:color="auto"/>
            <w:bottom w:val="none" w:sz="0" w:space="0" w:color="auto"/>
            <w:right w:val="none" w:sz="0" w:space="0" w:color="auto"/>
          </w:divBdr>
        </w:div>
        <w:div w:id="363754355">
          <w:marLeft w:val="0"/>
          <w:marRight w:val="0"/>
          <w:marTop w:val="0"/>
          <w:marBottom w:val="0"/>
          <w:divBdr>
            <w:top w:val="none" w:sz="0" w:space="0" w:color="auto"/>
            <w:left w:val="none" w:sz="0" w:space="0" w:color="auto"/>
            <w:bottom w:val="none" w:sz="0" w:space="0" w:color="auto"/>
            <w:right w:val="none" w:sz="0" w:space="0" w:color="auto"/>
          </w:divBdr>
        </w:div>
        <w:div w:id="606818040">
          <w:marLeft w:val="0"/>
          <w:marRight w:val="0"/>
          <w:marTop w:val="0"/>
          <w:marBottom w:val="0"/>
          <w:divBdr>
            <w:top w:val="none" w:sz="0" w:space="0" w:color="auto"/>
            <w:left w:val="none" w:sz="0" w:space="0" w:color="auto"/>
            <w:bottom w:val="none" w:sz="0" w:space="0" w:color="auto"/>
            <w:right w:val="none" w:sz="0" w:space="0" w:color="auto"/>
          </w:divBdr>
        </w:div>
        <w:div w:id="690373763">
          <w:marLeft w:val="0"/>
          <w:marRight w:val="0"/>
          <w:marTop w:val="0"/>
          <w:marBottom w:val="0"/>
          <w:divBdr>
            <w:top w:val="none" w:sz="0" w:space="0" w:color="auto"/>
            <w:left w:val="none" w:sz="0" w:space="0" w:color="auto"/>
            <w:bottom w:val="none" w:sz="0" w:space="0" w:color="auto"/>
            <w:right w:val="none" w:sz="0" w:space="0" w:color="auto"/>
          </w:divBdr>
        </w:div>
        <w:div w:id="1700086568">
          <w:marLeft w:val="0"/>
          <w:marRight w:val="0"/>
          <w:marTop w:val="0"/>
          <w:marBottom w:val="0"/>
          <w:divBdr>
            <w:top w:val="none" w:sz="0" w:space="0" w:color="auto"/>
            <w:left w:val="none" w:sz="0" w:space="0" w:color="auto"/>
            <w:bottom w:val="none" w:sz="0" w:space="0" w:color="auto"/>
            <w:right w:val="none" w:sz="0" w:space="0" w:color="auto"/>
          </w:divBdr>
        </w:div>
        <w:div w:id="1968968692">
          <w:marLeft w:val="0"/>
          <w:marRight w:val="0"/>
          <w:marTop w:val="0"/>
          <w:marBottom w:val="0"/>
          <w:divBdr>
            <w:top w:val="none" w:sz="0" w:space="0" w:color="auto"/>
            <w:left w:val="none" w:sz="0" w:space="0" w:color="auto"/>
            <w:bottom w:val="none" w:sz="0" w:space="0" w:color="auto"/>
            <w:right w:val="none" w:sz="0" w:space="0" w:color="auto"/>
          </w:divBdr>
        </w:div>
        <w:div w:id="155537605">
          <w:marLeft w:val="0"/>
          <w:marRight w:val="0"/>
          <w:marTop w:val="0"/>
          <w:marBottom w:val="0"/>
          <w:divBdr>
            <w:top w:val="none" w:sz="0" w:space="0" w:color="auto"/>
            <w:left w:val="none" w:sz="0" w:space="0" w:color="auto"/>
            <w:bottom w:val="none" w:sz="0" w:space="0" w:color="auto"/>
            <w:right w:val="none" w:sz="0" w:space="0" w:color="auto"/>
          </w:divBdr>
        </w:div>
        <w:div w:id="1014766700">
          <w:marLeft w:val="0"/>
          <w:marRight w:val="0"/>
          <w:marTop w:val="0"/>
          <w:marBottom w:val="0"/>
          <w:divBdr>
            <w:top w:val="none" w:sz="0" w:space="0" w:color="auto"/>
            <w:left w:val="none" w:sz="0" w:space="0" w:color="auto"/>
            <w:bottom w:val="none" w:sz="0" w:space="0" w:color="auto"/>
            <w:right w:val="none" w:sz="0" w:space="0" w:color="auto"/>
          </w:divBdr>
        </w:div>
        <w:div w:id="2039037293">
          <w:marLeft w:val="0"/>
          <w:marRight w:val="0"/>
          <w:marTop w:val="0"/>
          <w:marBottom w:val="0"/>
          <w:divBdr>
            <w:top w:val="none" w:sz="0" w:space="0" w:color="auto"/>
            <w:left w:val="none" w:sz="0" w:space="0" w:color="auto"/>
            <w:bottom w:val="none" w:sz="0" w:space="0" w:color="auto"/>
            <w:right w:val="none" w:sz="0" w:space="0" w:color="auto"/>
          </w:divBdr>
        </w:div>
        <w:div w:id="522212167">
          <w:marLeft w:val="0"/>
          <w:marRight w:val="0"/>
          <w:marTop w:val="0"/>
          <w:marBottom w:val="0"/>
          <w:divBdr>
            <w:top w:val="none" w:sz="0" w:space="0" w:color="auto"/>
            <w:left w:val="none" w:sz="0" w:space="0" w:color="auto"/>
            <w:bottom w:val="none" w:sz="0" w:space="0" w:color="auto"/>
            <w:right w:val="none" w:sz="0" w:space="0" w:color="auto"/>
          </w:divBdr>
        </w:div>
        <w:div w:id="1641499724">
          <w:marLeft w:val="0"/>
          <w:marRight w:val="0"/>
          <w:marTop w:val="0"/>
          <w:marBottom w:val="0"/>
          <w:divBdr>
            <w:top w:val="none" w:sz="0" w:space="0" w:color="auto"/>
            <w:left w:val="none" w:sz="0" w:space="0" w:color="auto"/>
            <w:bottom w:val="none" w:sz="0" w:space="0" w:color="auto"/>
            <w:right w:val="none" w:sz="0" w:space="0" w:color="auto"/>
          </w:divBdr>
        </w:div>
        <w:div w:id="320044461">
          <w:marLeft w:val="0"/>
          <w:marRight w:val="0"/>
          <w:marTop w:val="0"/>
          <w:marBottom w:val="0"/>
          <w:divBdr>
            <w:top w:val="none" w:sz="0" w:space="0" w:color="auto"/>
            <w:left w:val="none" w:sz="0" w:space="0" w:color="auto"/>
            <w:bottom w:val="none" w:sz="0" w:space="0" w:color="auto"/>
            <w:right w:val="none" w:sz="0" w:space="0" w:color="auto"/>
          </w:divBdr>
        </w:div>
        <w:div w:id="25643718">
          <w:marLeft w:val="0"/>
          <w:marRight w:val="0"/>
          <w:marTop w:val="0"/>
          <w:marBottom w:val="0"/>
          <w:divBdr>
            <w:top w:val="none" w:sz="0" w:space="0" w:color="auto"/>
            <w:left w:val="none" w:sz="0" w:space="0" w:color="auto"/>
            <w:bottom w:val="none" w:sz="0" w:space="0" w:color="auto"/>
            <w:right w:val="none" w:sz="0" w:space="0" w:color="auto"/>
          </w:divBdr>
        </w:div>
        <w:div w:id="839199277">
          <w:marLeft w:val="0"/>
          <w:marRight w:val="0"/>
          <w:marTop w:val="0"/>
          <w:marBottom w:val="0"/>
          <w:divBdr>
            <w:top w:val="none" w:sz="0" w:space="0" w:color="auto"/>
            <w:left w:val="none" w:sz="0" w:space="0" w:color="auto"/>
            <w:bottom w:val="none" w:sz="0" w:space="0" w:color="auto"/>
            <w:right w:val="none" w:sz="0" w:space="0" w:color="auto"/>
          </w:divBdr>
        </w:div>
        <w:div w:id="7420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Hospital for Special Surgery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Pascual-Leone, Nicolas</dc:creator>
  <cp:keywords/>
  <dc:description/>
  <cp:lastModifiedBy>Pascual-Leone, Nicolas</cp:lastModifiedBy>
  <cp:revision>5</cp:revision>
  <dcterms:created xsi:type="dcterms:W3CDTF">2022-04-14T20:06:00Z</dcterms:created>
  <dcterms:modified xsi:type="dcterms:W3CDTF">2022-04-14T20:51:00Z</dcterms:modified>
</cp:coreProperties>
</file>